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B550E" w14:textId="77777777" w:rsidR="005B0930" w:rsidRPr="005B0930" w:rsidRDefault="006137C9" w:rsidP="00293C28">
      <w:pPr>
        <w:autoSpaceDE w:val="0"/>
        <w:autoSpaceDN w:val="0"/>
        <w:adjustRightInd w:val="0"/>
        <w:ind w:left="6379"/>
        <w:rPr>
          <w:rFonts w:eastAsia="Calibri"/>
          <w:color w:val="000000"/>
          <w:spacing w:val="-2"/>
          <w:sz w:val="28"/>
          <w:szCs w:val="28"/>
          <w:lang w:eastAsia="en-US"/>
        </w:rPr>
      </w:pPr>
      <w:r>
        <w:rPr>
          <w:rFonts w:eastAsia="Calibri"/>
          <w:color w:val="000000"/>
          <w:spacing w:val="-2"/>
          <w:sz w:val="28"/>
          <w:szCs w:val="28"/>
          <w:lang w:eastAsia="en-US"/>
        </w:rPr>
        <w:t>ПРИЛОЖЕНИЕ</w:t>
      </w:r>
      <w:r w:rsidR="00293C28">
        <w:rPr>
          <w:rFonts w:eastAsia="Calibri"/>
          <w:color w:val="000000"/>
          <w:spacing w:val="-2"/>
          <w:sz w:val="28"/>
          <w:szCs w:val="28"/>
          <w:lang w:eastAsia="en-US"/>
        </w:rPr>
        <w:t xml:space="preserve"> № 1</w:t>
      </w:r>
    </w:p>
    <w:p w14:paraId="3F5AFD23" w14:textId="77777777" w:rsidR="005B0930" w:rsidRPr="005B0930" w:rsidRDefault="005B0930" w:rsidP="00293C28">
      <w:pPr>
        <w:autoSpaceDE w:val="0"/>
        <w:autoSpaceDN w:val="0"/>
        <w:adjustRightInd w:val="0"/>
        <w:ind w:left="6379"/>
        <w:rPr>
          <w:rFonts w:eastAsia="Calibri"/>
          <w:color w:val="000000"/>
          <w:spacing w:val="-2"/>
          <w:sz w:val="28"/>
          <w:szCs w:val="28"/>
          <w:lang w:eastAsia="en-US"/>
        </w:rPr>
      </w:pPr>
      <w:r w:rsidRPr="005B0930">
        <w:rPr>
          <w:rFonts w:eastAsia="Calibri"/>
          <w:color w:val="000000"/>
          <w:spacing w:val="-2"/>
          <w:sz w:val="28"/>
          <w:szCs w:val="28"/>
          <w:lang w:eastAsia="en-US"/>
        </w:rPr>
        <w:t xml:space="preserve">к решению Совета депутатов </w:t>
      </w:r>
      <w:r w:rsidR="00F66A48">
        <w:rPr>
          <w:color w:val="000000"/>
          <w:sz w:val="28"/>
          <w:szCs w:val="28"/>
        </w:rPr>
        <w:t>Новосибирского района Новосибирской области</w:t>
      </w:r>
      <w:r w:rsidRPr="005B0930">
        <w:rPr>
          <w:rFonts w:eastAsia="Calibri"/>
          <w:color w:val="000000"/>
          <w:spacing w:val="-2"/>
          <w:sz w:val="28"/>
          <w:szCs w:val="28"/>
          <w:lang w:eastAsia="en-US"/>
        </w:rPr>
        <w:t xml:space="preserve"> </w:t>
      </w:r>
    </w:p>
    <w:p w14:paraId="20ADF5B8" w14:textId="1AD973C5" w:rsidR="005B0930" w:rsidRPr="005B0930" w:rsidRDefault="005B0930" w:rsidP="00293C28">
      <w:pPr>
        <w:shd w:val="clear" w:color="auto" w:fill="FFFFFF"/>
        <w:autoSpaceDE w:val="0"/>
        <w:autoSpaceDN w:val="0"/>
        <w:adjustRightInd w:val="0"/>
        <w:ind w:left="6379"/>
        <w:rPr>
          <w:rFonts w:eastAsia="Calibri"/>
          <w:color w:val="000000"/>
          <w:spacing w:val="-2"/>
          <w:sz w:val="28"/>
          <w:szCs w:val="28"/>
          <w:lang w:eastAsia="en-US"/>
        </w:rPr>
      </w:pPr>
      <w:r w:rsidRPr="005B0930">
        <w:rPr>
          <w:rFonts w:eastAsia="Calibri"/>
          <w:color w:val="000000"/>
          <w:spacing w:val="-2"/>
          <w:sz w:val="28"/>
          <w:szCs w:val="28"/>
          <w:lang w:eastAsia="en-US"/>
        </w:rPr>
        <w:t xml:space="preserve">от </w:t>
      </w:r>
      <w:r w:rsidR="003E73AE">
        <w:rPr>
          <w:rFonts w:eastAsia="Calibri"/>
          <w:color w:val="000000"/>
          <w:spacing w:val="-2"/>
          <w:sz w:val="28"/>
          <w:szCs w:val="28"/>
          <w:lang w:eastAsia="en-US"/>
        </w:rPr>
        <w:t>27.01.2022</w:t>
      </w:r>
      <w:r w:rsidRPr="005B0930">
        <w:rPr>
          <w:rFonts w:eastAsia="Calibri"/>
          <w:color w:val="000000"/>
          <w:spacing w:val="-2"/>
          <w:sz w:val="28"/>
          <w:szCs w:val="28"/>
          <w:lang w:eastAsia="en-US"/>
        </w:rPr>
        <w:t xml:space="preserve"> № </w:t>
      </w:r>
      <w:r w:rsidR="003E73AE">
        <w:rPr>
          <w:rFonts w:eastAsia="Calibri"/>
          <w:color w:val="000000"/>
          <w:spacing w:val="-2"/>
          <w:sz w:val="28"/>
          <w:szCs w:val="28"/>
          <w:lang w:eastAsia="en-US"/>
        </w:rPr>
        <w:t>3</w:t>
      </w:r>
    </w:p>
    <w:p w14:paraId="4CB84AB1" w14:textId="77777777" w:rsidR="00293C28" w:rsidRDefault="00293C28" w:rsidP="006137C9">
      <w:pPr>
        <w:jc w:val="center"/>
        <w:rPr>
          <w:b/>
          <w:bCs/>
          <w:color w:val="000000"/>
          <w:sz w:val="28"/>
          <w:szCs w:val="28"/>
        </w:rPr>
      </w:pPr>
    </w:p>
    <w:p w14:paraId="551640A4" w14:textId="77777777" w:rsidR="00293C28" w:rsidRDefault="00293C28" w:rsidP="00293C28">
      <w:pPr>
        <w:jc w:val="center"/>
        <w:rPr>
          <w:b/>
          <w:sz w:val="28"/>
          <w:szCs w:val="28"/>
        </w:rPr>
      </w:pPr>
      <w:r w:rsidRPr="00722897">
        <w:rPr>
          <w:b/>
          <w:sz w:val="28"/>
          <w:szCs w:val="28"/>
        </w:rPr>
        <w:t xml:space="preserve">Ключевые </w:t>
      </w:r>
      <w:r w:rsidRPr="00722897">
        <w:rPr>
          <w:b/>
          <w:color w:val="000000"/>
          <w:sz w:val="28"/>
          <w:szCs w:val="28"/>
        </w:rPr>
        <w:t>показатели</w:t>
      </w:r>
      <w:r w:rsidRPr="00722897">
        <w:rPr>
          <w:b/>
          <w:sz w:val="28"/>
          <w:szCs w:val="28"/>
        </w:rPr>
        <w:t xml:space="preserve">, </w:t>
      </w:r>
      <w:r w:rsidRPr="00293C28">
        <w:rPr>
          <w:b/>
          <w:sz w:val="28"/>
          <w:szCs w:val="28"/>
        </w:rPr>
        <w:t>применяемы</w:t>
      </w:r>
      <w:r>
        <w:rPr>
          <w:b/>
          <w:sz w:val="28"/>
          <w:szCs w:val="28"/>
        </w:rPr>
        <w:t>е</w:t>
      </w:r>
      <w:r w:rsidRPr="00293C28">
        <w:rPr>
          <w:b/>
          <w:sz w:val="28"/>
          <w:szCs w:val="28"/>
        </w:rPr>
        <w:t xml:space="preserve"> при осуществлении </w:t>
      </w:r>
    </w:p>
    <w:p w14:paraId="51BAB356" w14:textId="77777777" w:rsidR="00293C28" w:rsidRDefault="00293C28" w:rsidP="00293C28">
      <w:pPr>
        <w:jc w:val="center"/>
        <w:rPr>
          <w:b/>
          <w:sz w:val="28"/>
          <w:szCs w:val="28"/>
        </w:rPr>
      </w:pPr>
      <w:r w:rsidRPr="00293C28">
        <w:rPr>
          <w:b/>
          <w:sz w:val="28"/>
          <w:szCs w:val="28"/>
        </w:rPr>
        <w:t>муниципального лесного контроля</w:t>
      </w:r>
      <w:r>
        <w:rPr>
          <w:b/>
          <w:sz w:val="28"/>
          <w:szCs w:val="28"/>
        </w:rPr>
        <w:t xml:space="preserve"> </w:t>
      </w:r>
      <w:r w:rsidRPr="00293C28">
        <w:rPr>
          <w:b/>
          <w:sz w:val="28"/>
          <w:szCs w:val="28"/>
        </w:rPr>
        <w:t xml:space="preserve">в границах </w:t>
      </w:r>
    </w:p>
    <w:p w14:paraId="027EC955" w14:textId="74106327" w:rsidR="00293C28" w:rsidRPr="00722897" w:rsidRDefault="00293C28" w:rsidP="00293C28">
      <w:pPr>
        <w:jc w:val="center"/>
        <w:rPr>
          <w:b/>
          <w:sz w:val="28"/>
          <w:szCs w:val="28"/>
        </w:rPr>
      </w:pPr>
      <w:r w:rsidRPr="00293C28">
        <w:rPr>
          <w:b/>
          <w:sz w:val="28"/>
          <w:szCs w:val="28"/>
        </w:rPr>
        <w:t>Новосибирского района Новосибирской области</w:t>
      </w:r>
      <w:r w:rsidR="0046717B">
        <w:rPr>
          <w:b/>
          <w:sz w:val="28"/>
          <w:szCs w:val="28"/>
        </w:rPr>
        <w:t>,</w:t>
      </w:r>
      <w:r w:rsidRPr="00722897">
        <w:rPr>
          <w:b/>
          <w:color w:val="000000"/>
          <w:sz w:val="28"/>
          <w:szCs w:val="28"/>
        </w:rPr>
        <w:t xml:space="preserve"> </w:t>
      </w:r>
      <w:r>
        <w:rPr>
          <w:b/>
          <w:color w:val="000000"/>
          <w:sz w:val="28"/>
          <w:szCs w:val="28"/>
        </w:rPr>
        <w:br/>
      </w:r>
      <w:r w:rsidRPr="00722897">
        <w:rPr>
          <w:b/>
          <w:sz w:val="28"/>
          <w:szCs w:val="28"/>
        </w:rPr>
        <w:t>и их целевые значения</w:t>
      </w:r>
    </w:p>
    <w:p w14:paraId="54FE623F" w14:textId="77777777" w:rsidR="00293C28" w:rsidRPr="00A7376D" w:rsidRDefault="00293C28" w:rsidP="00293C28">
      <w:pPr>
        <w:jc w:val="center"/>
        <w:rPr>
          <w:b/>
          <w:sz w:val="28"/>
          <w:szCs w:val="28"/>
        </w:rPr>
      </w:pPr>
    </w:p>
    <w:p w14:paraId="3E0BF6B6" w14:textId="77777777" w:rsidR="00293C28" w:rsidRPr="00577EA0" w:rsidRDefault="00293C28" w:rsidP="00293C28">
      <w:pPr>
        <w:pStyle w:val="Default"/>
        <w:ind w:firstLine="709"/>
        <w:jc w:val="both"/>
        <w:rPr>
          <w:sz w:val="28"/>
          <w:szCs w:val="28"/>
        </w:rPr>
      </w:pPr>
      <w:r w:rsidRPr="0098389D">
        <w:rPr>
          <w:sz w:val="28"/>
          <w:szCs w:val="28"/>
        </w:rPr>
        <w:t xml:space="preserve">При осуществлении муниципального лесного контроля </w:t>
      </w:r>
      <w:r w:rsidRPr="00DE7514">
        <w:rPr>
          <w:sz w:val="28"/>
          <w:szCs w:val="28"/>
        </w:rPr>
        <w:t xml:space="preserve">в границах </w:t>
      </w:r>
      <w:r w:rsidRPr="00293C28">
        <w:rPr>
          <w:sz w:val="28"/>
          <w:szCs w:val="28"/>
        </w:rPr>
        <w:t xml:space="preserve">Новосибирского района Новосибирской области </w:t>
      </w:r>
      <w:r w:rsidRPr="0098389D">
        <w:rPr>
          <w:sz w:val="28"/>
          <w:szCs w:val="28"/>
        </w:rPr>
        <w:t>устанавливаются</w:t>
      </w:r>
      <w:r>
        <w:rPr>
          <w:sz w:val="28"/>
          <w:szCs w:val="28"/>
        </w:rPr>
        <w:t xml:space="preserve"> </w:t>
      </w:r>
      <w:r w:rsidRPr="00577EA0">
        <w:rPr>
          <w:sz w:val="28"/>
          <w:szCs w:val="28"/>
        </w:rPr>
        <w:t>следующие ключевые показатели и их целевые значения</w:t>
      </w:r>
      <w:r>
        <w:rPr>
          <w:sz w:val="28"/>
          <w:szCs w:val="28"/>
        </w:rPr>
        <w:t>:</w:t>
      </w:r>
    </w:p>
    <w:p w14:paraId="6C047D34" w14:textId="77777777" w:rsidR="00293C28" w:rsidRPr="00577EA0" w:rsidRDefault="00293C28" w:rsidP="00293C28">
      <w:pPr>
        <w:pStyle w:val="Default"/>
        <w:ind w:firstLine="709"/>
        <w:jc w:val="both"/>
        <w:rPr>
          <w:sz w:val="28"/>
          <w:szCs w:val="28"/>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3"/>
        <w:gridCol w:w="2693"/>
      </w:tblGrid>
      <w:tr w:rsidR="00293C28" w:rsidRPr="00A7376D" w14:paraId="209EF75D" w14:textId="77777777" w:rsidTr="00293C28">
        <w:trPr>
          <w:trHeight w:val="677"/>
        </w:trPr>
        <w:tc>
          <w:tcPr>
            <w:tcW w:w="7343" w:type="dxa"/>
            <w:vAlign w:val="center"/>
          </w:tcPr>
          <w:p w14:paraId="034432F9" w14:textId="77777777" w:rsidR="00293C28" w:rsidRPr="00A7376D" w:rsidRDefault="00293C28" w:rsidP="003216FE">
            <w:pPr>
              <w:pStyle w:val="Default"/>
              <w:jc w:val="center"/>
              <w:rPr>
                <w:sz w:val="28"/>
                <w:szCs w:val="28"/>
              </w:rPr>
            </w:pPr>
            <w:r w:rsidRPr="00A7376D">
              <w:rPr>
                <w:sz w:val="28"/>
                <w:szCs w:val="28"/>
              </w:rPr>
              <w:t>Ключевые показатели</w:t>
            </w:r>
            <w:r>
              <w:rPr>
                <w:sz w:val="28"/>
                <w:szCs w:val="28"/>
              </w:rPr>
              <w:t xml:space="preserve"> </w:t>
            </w:r>
          </w:p>
        </w:tc>
        <w:tc>
          <w:tcPr>
            <w:tcW w:w="2693" w:type="dxa"/>
            <w:vAlign w:val="center"/>
          </w:tcPr>
          <w:p w14:paraId="6A643054" w14:textId="77777777" w:rsidR="00293C28" w:rsidRPr="00A7376D" w:rsidRDefault="00293C28" w:rsidP="003216FE">
            <w:pPr>
              <w:pStyle w:val="Default"/>
              <w:jc w:val="center"/>
              <w:rPr>
                <w:sz w:val="28"/>
                <w:szCs w:val="28"/>
              </w:rPr>
            </w:pPr>
            <w:r w:rsidRPr="00A7376D">
              <w:rPr>
                <w:sz w:val="28"/>
                <w:szCs w:val="28"/>
              </w:rPr>
              <w:t xml:space="preserve">Целевые значения </w:t>
            </w:r>
            <w:r>
              <w:rPr>
                <w:sz w:val="28"/>
                <w:szCs w:val="28"/>
              </w:rPr>
              <w:br/>
            </w:r>
            <w:r w:rsidRPr="00A7376D">
              <w:rPr>
                <w:sz w:val="28"/>
                <w:szCs w:val="28"/>
              </w:rPr>
              <w:t>(%)</w:t>
            </w:r>
          </w:p>
        </w:tc>
      </w:tr>
      <w:tr w:rsidR="00293C28" w:rsidRPr="00A7376D" w14:paraId="7A84E00F" w14:textId="77777777" w:rsidTr="00293C28">
        <w:trPr>
          <w:trHeight w:val="259"/>
        </w:trPr>
        <w:tc>
          <w:tcPr>
            <w:tcW w:w="7343" w:type="dxa"/>
          </w:tcPr>
          <w:p w14:paraId="0D846409" w14:textId="77777777" w:rsidR="00293C28" w:rsidRPr="00A7376D" w:rsidRDefault="00293C28" w:rsidP="003216FE">
            <w:pPr>
              <w:pStyle w:val="Default"/>
              <w:rPr>
                <w:sz w:val="28"/>
                <w:szCs w:val="28"/>
              </w:rPr>
            </w:pPr>
            <w:r w:rsidRPr="00A7376D">
              <w:rPr>
                <w:sz w:val="28"/>
                <w:szCs w:val="28"/>
              </w:rPr>
              <w:t>Процент устраненных нарушений обязательных требований от числа выявленных нарушений обязательных требований</w:t>
            </w:r>
          </w:p>
        </w:tc>
        <w:tc>
          <w:tcPr>
            <w:tcW w:w="2693" w:type="dxa"/>
          </w:tcPr>
          <w:p w14:paraId="2AFE580E" w14:textId="77777777" w:rsidR="00293C28" w:rsidRPr="00A7376D" w:rsidRDefault="00293C28" w:rsidP="003216FE">
            <w:pPr>
              <w:pStyle w:val="Default"/>
              <w:jc w:val="center"/>
              <w:rPr>
                <w:sz w:val="28"/>
                <w:szCs w:val="28"/>
              </w:rPr>
            </w:pPr>
            <w:r w:rsidRPr="00A7376D">
              <w:rPr>
                <w:sz w:val="28"/>
                <w:szCs w:val="28"/>
              </w:rPr>
              <w:t>70</w:t>
            </w:r>
          </w:p>
        </w:tc>
      </w:tr>
      <w:tr w:rsidR="00293C28" w:rsidRPr="00A7376D" w14:paraId="716F6CB2" w14:textId="77777777" w:rsidTr="00293C28">
        <w:trPr>
          <w:trHeight w:val="409"/>
        </w:trPr>
        <w:tc>
          <w:tcPr>
            <w:tcW w:w="7343" w:type="dxa"/>
          </w:tcPr>
          <w:p w14:paraId="56948A85" w14:textId="77777777" w:rsidR="00293C28" w:rsidRPr="00A7376D" w:rsidRDefault="00293C28" w:rsidP="003216FE">
            <w:pPr>
              <w:pStyle w:val="Default"/>
              <w:rPr>
                <w:sz w:val="28"/>
                <w:szCs w:val="28"/>
              </w:rPr>
            </w:pPr>
            <w:r w:rsidRPr="00A7376D">
              <w:rPr>
                <w:sz w:val="28"/>
                <w:szCs w:val="28"/>
              </w:rPr>
              <w:t>Процент</w:t>
            </w:r>
            <w:r>
              <w:rPr>
                <w:sz w:val="28"/>
                <w:szCs w:val="28"/>
              </w:rPr>
              <w:t xml:space="preserve"> </w:t>
            </w:r>
            <w:r w:rsidRPr="00A7376D">
              <w:rPr>
                <w:sz w:val="28"/>
                <w:szCs w:val="28"/>
              </w:rPr>
              <w:t>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693" w:type="dxa"/>
          </w:tcPr>
          <w:p w14:paraId="1B92FFE3" w14:textId="77777777" w:rsidR="00293C28" w:rsidRPr="00A7376D" w:rsidRDefault="00293C28" w:rsidP="003216FE">
            <w:pPr>
              <w:pStyle w:val="Default"/>
              <w:jc w:val="center"/>
              <w:rPr>
                <w:sz w:val="28"/>
                <w:szCs w:val="28"/>
              </w:rPr>
            </w:pPr>
            <w:r w:rsidRPr="00A7376D">
              <w:rPr>
                <w:sz w:val="28"/>
                <w:szCs w:val="28"/>
              </w:rPr>
              <w:t>0</w:t>
            </w:r>
          </w:p>
        </w:tc>
      </w:tr>
      <w:tr w:rsidR="00293C28" w:rsidRPr="00A7376D" w14:paraId="5AB26A3B" w14:textId="77777777" w:rsidTr="00293C28">
        <w:trPr>
          <w:trHeight w:val="247"/>
        </w:trPr>
        <w:tc>
          <w:tcPr>
            <w:tcW w:w="7343" w:type="dxa"/>
          </w:tcPr>
          <w:p w14:paraId="5AA9E292" w14:textId="77777777" w:rsidR="00293C28" w:rsidRPr="00A7376D" w:rsidRDefault="00293C28" w:rsidP="003216FE">
            <w:pPr>
              <w:pStyle w:val="Default"/>
              <w:rPr>
                <w:sz w:val="28"/>
                <w:szCs w:val="28"/>
              </w:rPr>
            </w:pPr>
            <w:r w:rsidRPr="00A7376D">
              <w:rPr>
                <w:sz w:val="28"/>
                <w:szCs w:val="28"/>
              </w:rPr>
              <w:t xml:space="preserve">Процент отмененных результатов контрольных (надзорных) мероприятий </w:t>
            </w:r>
          </w:p>
        </w:tc>
        <w:tc>
          <w:tcPr>
            <w:tcW w:w="2693" w:type="dxa"/>
          </w:tcPr>
          <w:p w14:paraId="4265E942" w14:textId="77777777" w:rsidR="00293C28" w:rsidRPr="00A7376D" w:rsidRDefault="00293C28" w:rsidP="003216FE">
            <w:pPr>
              <w:pStyle w:val="Default"/>
              <w:jc w:val="center"/>
              <w:rPr>
                <w:sz w:val="28"/>
                <w:szCs w:val="28"/>
              </w:rPr>
            </w:pPr>
            <w:r w:rsidRPr="00A7376D">
              <w:rPr>
                <w:sz w:val="28"/>
                <w:szCs w:val="28"/>
              </w:rPr>
              <w:t>0</w:t>
            </w:r>
          </w:p>
        </w:tc>
      </w:tr>
      <w:tr w:rsidR="00293C28" w:rsidRPr="00A7376D" w14:paraId="7DA275C1" w14:textId="77777777" w:rsidTr="00293C28">
        <w:trPr>
          <w:trHeight w:val="385"/>
        </w:trPr>
        <w:tc>
          <w:tcPr>
            <w:tcW w:w="7343" w:type="dxa"/>
          </w:tcPr>
          <w:p w14:paraId="09A250CC" w14:textId="77777777" w:rsidR="00293C28" w:rsidRPr="00A7376D" w:rsidRDefault="00293C28" w:rsidP="003216FE">
            <w:pPr>
              <w:pStyle w:val="Default"/>
              <w:rPr>
                <w:sz w:val="28"/>
                <w:szCs w:val="28"/>
              </w:rPr>
            </w:pPr>
            <w:r w:rsidRPr="00A7376D">
              <w:rPr>
                <w:sz w:val="28"/>
                <w:szCs w:val="28"/>
              </w:rPr>
              <w:t xml:space="preserve">Процент внесенных судебных решений о назначении административного наказания по материалам органа муниципального контроля </w:t>
            </w:r>
          </w:p>
        </w:tc>
        <w:tc>
          <w:tcPr>
            <w:tcW w:w="2693" w:type="dxa"/>
          </w:tcPr>
          <w:p w14:paraId="33026326" w14:textId="77777777" w:rsidR="00293C28" w:rsidRPr="00A7376D" w:rsidRDefault="00293C28" w:rsidP="003216FE">
            <w:pPr>
              <w:pStyle w:val="Default"/>
              <w:jc w:val="center"/>
              <w:rPr>
                <w:sz w:val="28"/>
                <w:szCs w:val="28"/>
              </w:rPr>
            </w:pPr>
            <w:r w:rsidRPr="00A7376D">
              <w:rPr>
                <w:sz w:val="28"/>
                <w:szCs w:val="28"/>
              </w:rPr>
              <w:t>95</w:t>
            </w:r>
          </w:p>
        </w:tc>
      </w:tr>
    </w:tbl>
    <w:p w14:paraId="5C8C5BDB" w14:textId="77777777" w:rsidR="00293C28" w:rsidRDefault="00293C28" w:rsidP="00293C28">
      <w:pPr>
        <w:autoSpaceDE w:val="0"/>
        <w:autoSpaceDN w:val="0"/>
        <w:adjustRightInd w:val="0"/>
        <w:rPr>
          <w:sz w:val="28"/>
          <w:szCs w:val="28"/>
        </w:rPr>
      </w:pPr>
    </w:p>
    <w:p w14:paraId="0FACCC62" w14:textId="77777777" w:rsidR="00755710" w:rsidRPr="004049D8" w:rsidRDefault="00755710" w:rsidP="00293C28">
      <w:pPr>
        <w:pStyle w:val="ConsPlusNormal"/>
        <w:ind w:firstLine="0"/>
        <w:jc w:val="both"/>
        <w:rPr>
          <w:rFonts w:ascii="Times New Roman" w:hAnsi="Times New Roman" w:cs="Times New Roman"/>
          <w:color w:val="000000"/>
        </w:rPr>
      </w:pPr>
      <w:r w:rsidRPr="004049D8">
        <w:rPr>
          <w:rFonts w:ascii="Times New Roman" w:hAnsi="Times New Roman" w:cs="Times New Roman"/>
          <w:color w:val="000000"/>
          <w:sz w:val="24"/>
          <w:szCs w:val="24"/>
        </w:rPr>
        <w:br w:type="page"/>
      </w:r>
    </w:p>
    <w:p w14:paraId="73298DAF" w14:textId="77777777" w:rsidR="00293C28" w:rsidRPr="005B0930" w:rsidRDefault="00293C28" w:rsidP="00293C28">
      <w:pPr>
        <w:autoSpaceDE w:val="0"/>
        <w:autoSpaceDN w:val="0"/>
        <w:adjustRightInd w:val="0"/>
        <w:ind w:left="6379"/>
        <w:rPr>
          <w:rFonts w:eastAsia="Calibri"/>
          <w:color w:val="000000"/>
          <w:spacing w:val="-2"/>
          <w:sz w:val="28"/>
          <w:szCs w:val="28"/>
          <w:lang w:eastAsia="en-US"/>
        </w:rPr>
      </w:pPr>
      <w:r>
        <w:rPr>
          <w:rFonts w:eastAsia="Calibri"/>
          <w:color w:val="000000"/>
          <w:spacing w:val="-2"/>
          <w:sz w:val="28"/>
          <w:szCs w:val="28"/>
          <w:lang w:eastAsia="en-US"/>
        </w:rPr>
        <w:lastRenderedPageBreak/>
        <w:t>ПРИЛОЖЕНИЕ № 2</w:t>
      </w:r>
    </w:p>
    <w:p w14:paraId="1C2D7AB9" w14:textId="77777777" w:rsidR="00293C28" w:rsidRPr="005B0930" w:rsidRDefault="00293C28" w:rsidP="00293C28">
      <w:pPr>
        <w:autoSpaceDE w:val="0"/>
        <w:autoSpaceDN w:val="0"/>
        <w:adjustRightInd w:val="0"/>
        <w:ind w:left="6379"/>
        <w:rPr>
          <w:rFonts w:eastAsia="Calibri"/>
          <w:color w:val="000000"/>
          <w:spacing w:val="-2"/>
          <w:sz w:val="28"/>
          <w:szCs w:val="28"/>
          <w:lang w:eastAsia="en-US"/>
        </w:rPr>
      </w:pPr>
      <w:r w:rsidRPr="005B0930">
        <w:rPr>
          <w:rFonts w:eastAsia="Calibri"/>
          <w:color w:val="000000"/>
          <w:spacing w:val="-2"/>
          <w:sz w:val="28"/>
          <w:szCs w:val="28"/>
          <w:lang w:eastAsia="en-US"/>
        </w:rPr>
        <w:t xml:space="preserve">к решению Совета депутатов </w:t>
      </w:r>
      <w:r>
        <w:rPr>
          <w:color w:val="000000"/>
          <w:sz w:val="28"/>
          <w:szCs w:val="28"/>
        </w:rPr>
        <w:t>Новосибирского района Новосибирской области</w:t>
      </w:r>
      <w:r w:rsidRPr="005B0930">
        <w:rPr>
          <w:rFonts w:eastAsia="Calibri"/>
          <w:color w:val="000000"/>
          <w:spacing w:val="-2"/>
          <w:sz w:val="28"/>
          <w:szCs w:val="28"/>
          <w:lang w:eastAsia="en-US"/>
        </w:rPr>
        <w:t xml:space="preserve"> </w:t>
      </w:r>
    </w:p>
    <w:p w14:paraId="17C9C055" w14:textId="671395C4" w:rsidR="00293C28" w:rsidRPr="005B0930" w:rsidRDefault="00293C28" w:rsidP="00293C28">
      <w:pPr>
        <w:shd w:val="clear" w:color="auto" w:fill="FFFFFF"/>
        <w:autoSpaceDE w:val="0"/>
        <w:autoSpaceDN w:val="0"/>
        <w:adjustRightInd w:val="0"/>
        <w:ind w:left="6379"/>
        <w:rPr>
          <w:rFonts w:eastAsia="Calibri"/>
          <w:color w:val="000000"/>
          <w:spacing w:val="-2"/>
          <w:sz w:val="28"/>
          <w:szCs w:val="28"/>
          <w:lang w:eastAsia="en-US"/>
        </w:rPr>
      </w:pPr>
      <w:r w:rsidRPr="005B0930">
        <w:rPr>
          <w:rFonts w:eastAsia="Calibri"/>
          <w:color w:val="000000"/>
          <w:spacing w:val="-2"/>
          <w:sz w:val="28"/>
          <w:szCs w:val="28"/>
          <w:lang w:eastAsia="en-US"/>
        </w:rPr>
        <w:t xml:space="preserve">от </w:t>
      </w:r>
      <w:r w:rsidR="003E73AE">
        <w:rPr>
          <w:rFonts w:eastAsia="Calibri"/>
          <w:color w:val="000000"/>
          <w:spacing w:val="-2"/>
          <w:sz w:val="28"/>
          <w:szCs w:val="28"/>
          <w:lang w:eastAsia="en-US"/>
        </w:rPr>
        <w:t>27.01.2022</w:t>
      </w:r>
      <w:r w:rsidRPr="005B0930">
        <w:rPr>
          <w:rFonts w:eastAsia="Calibri"/>
          <w:color w:val="000000"/>
          <w:spacing w:val="-2"/>
          <w:sz w:val="28"/>
          <w:szCs w:val="28"/>
          <w:lang w:eastAsia="en-US"/>
        </w:rPr>
        <w:t xml:space="preserve"> № </w:t>
      </w:r>
      <w:r w:rsidR="003E73AE">
        <w:rPr>
          <w:rFonts w:eastAsia="Calibri"/>
          <w:color w:val="000000"/>
          <w:spacing w:val="-2"/>
          <w:sz w:val="28"/>
          <w:szCs w:val="28"/>
          <w:lang w:eastAsia="en-US"/>
        </w:rPr>
        <w:t>3</w:t>
      </w:r>
    </w:p>
    <w:p w14:paraId="31E44E67" w14:textId="77777777" w:rsidR="004479C2" w:rsidRDefault="004479C2" w:rsidP="004479C2">
      <w:pPr>
        <w:autoSpaceDE w:val="0"/>
        <w:autoSpaceDN w:val="0"/>
        <w:adjustRightInd w:val="0"/>
        <w:rPr>
          <w:sz w:val="28"/>
          <w:szCs w:val="26"/>
        </w:rPr>
      </w:pPr>
    </w:p>
    <w:p w14:paraId="0827D4EC" w14:textId="77777777" w:rsidR="00926A47" w:rsidRDefault="00293C28" w:rsidP="0046717B">
      <w:pPr>
        <w:autoSpaceDE w:val="0"/>
        <w:autoSpaceDN w:val="0"/>
        <w:adjustRightInd w:val="0"/>
        <w:ind w:left="142" w:right="227"/>
        <w:jc w:val="center"/>
        <w:rPr>
          <w:b/>
          <w:bCs/>
          <w:sz w:val="28"/>
          <w:szCs w:val="26"/>
        </w:rPr>
      </w:pPr>
      <w:r w:rsidRPr="00390867">
        <w:rPr>
          <w:b/>
          <w:bCs/>
          <w:sz w:val="28"/>
          <w:szCs w:val="28"/>
        </w:rPr>
        <w:t xml:space="preserve">Индикативные </w:t>
      </w:r>
      <w:r w:rsidRPr="00390867">
        <w:rPr>
          <w:b/>
          <w:color w:val="000000"/>
          <w:sz w:val="28"/>
          <w:szCs w:val="28"/>
        </w:rPr>
        <w:t>показатели</w:t>
      </w:r>
      <w:r w:rsidRPr="00390867">
        <w:rPr>
          <w:b/>
          <w:sz w:val="28"/>
          <w:szCs w:val="28"/>
        </w:rPr>
        <w:t xml:space="preserve">, применяемые </w:t>
      </w:r>
      <w:r w:rsidR="004479C2" w:rsidRPr="00A62DFC">
        <w:rPr>
          <w:b/>
          <w:bCs/>
          <w:sz w:val="28"/>
          <w:szCs w:val="26"/>
        </w:rPr>
        <w:t xml:space="preserve">при осуществлении </w:t>
      </w:r>
      <w:r w:rsidRPr="00A62DFC">
        <w:rPr>
          <w:b/>
          <w:bCs/>
          <w:sz w:val="28"/>
          <w:szCs w:val="26"/>
        </w:rPr>
        <w:t xml:space="preserve">муниципального </w:t>
      </w:r>
      <w:r>
        <w:rPr>
          <w:b/>
          <w:bCs/>
          <w:sz w:val="28"/>
          <w:szCs w:val="26"/>
        </w:rPr>
        <w:t>лес</w:t>
      </w:r>
      <w:r w:rsidRPr="00A62DFC">
        <w:rPr>
          <w:b/>
          <w:bCs/>
          <w:sz w:val="28"/>
          <w:szCs w:val="26"/>
        </w:rPr>
        <w:t>ного контроля</w:t>
      </w:r>
      <w:r w:rsidR="00926A47">
        <w:rPr>
          <w:b/>
          <w:bCs/>
          <w:sz w:val="28"/>
          <w:szCs w:val="26"/>
        </w:rPr>
        <w:t xml:space="preserve"> </w:t>
      </w:r>
      <w:r>
        <w:rPr>
          <w:b/>
          <w:bCs/>
          <w:sz w:val="28"/>
          <w:szCs w:val="26"/>
        </w:rPr>
        <w:t xml:space="preserve">в границах </w:t>
      </w:r>
    </w:p>
    <w:p w14:paraId="10E2917B" w14:textId="394F6DE2" w:rsidR="008B06DF" w:rsidRPr="00A62DFC" w:rsidRDefault="00A47079" w:rsidP="0046717B">
      <w:pPr>
        <w:autoSpaceDE w:val="0"/>
        <w:autoSpaceDN w:val="0"/>
        <w:adjustRightInd w:val="0"/>
        <w:ind w:left="142" w:right="227"/>
        <w:jc w:val="center"/>
        <w:rPr>
          <w:b/>
          <w:bCs/>
          <w:sz w:val="28"/>
          <w:szCs w:val="26"/>
        </w:rPr>
      </w:pPr>
      <w:r w:rsidRPr="00A62DFC">
        <w:rPr>
          <w:b/>
          <w:bCs/>
          <w:sz w:val="28"/>
          <w:szCs w:val="26"/>
        </w:rPr>
        <w:t>Новосибирского района Новосибирской области</w:t>
      </w:r>
      <w:r w:rsidR="004479C2" w:rsidRPr="00A62DFC">
        <w:rPr>
          <w:b/>
          <w:bCs/>
          <w:sz w:val="28"/>
          <w:szCs w:val="26"/>
        </w:rPr>
        <w:t xml:space="preserve"> </w:t>
      </w:r>
    </w:p>
    <w:p w14:paraId="5EF3E6AF" w14:textId="77777777" w:rsidR="004479C2" w:rsidRPr="00A62DFC" w:rsidRDefault="004479C2" w:rsidP="004479C2">
      <w:pPr>
        <w:autoSpaceDE w:val="0"/>
        <w:autoSpaceDN w:val="0"/>
        <w:adjustRightInd w:val="0"/>
        <w:ind w:left="142" w:right="225"/>
        <w:jc w:val="center"/>
        <w:rPr>
          <w:b/>
          <w:bCs/>
          <w:sz w:val="28"/>
          <w:szCs w:val="26"/>
        </w:rPr>
      </w:pPr>
    </w:p>
    <w:p w14:paraId="4DE5C0F5" w14:textId="77777777" w:rsidR="00293C28" w:rsidRPr="0098389D" w:rsidRDefault="00293C28" w:rsidP="00293C28">
      <w:pPr>
        <w:pStyle w:val="Default"/>
        <w:ind w:firstLine="709"/>
        <w:jc w:val="both"/>
        <w:rPr>
          <w:sz w:val="28"/>
          <w:szCs w:val="28"/>
        </w:rPr>
      </w:pPr>
      <w:r w:rsidRPr="0098389D">
        <w:rPr>
          <w:sz w:val="28"/>
          <w:szCs w:val="28"/>
        </w:rPr>
        <w:t xml:space="preserve">При осуществлении муниципального </w:t>
      </w:r>
      <w:r w:rsidRPr="00293C28">
        <w:rPr>
          <w:sz w:val="28"/>
          <w:szCs w:val="28"/>
        </w:rPr>
        <w:t>лесного контроля</w:t>
      </w:r>
      <w:r>
        <w:rPr>
          <w:sz w:val="28"/>
          <w:szCs w:val="28"/>
        </w:rPr>
        <w:t xml:space="preserve"> </w:t>
      </w:r>
      <w:r w:rsidRPr="00293C28">
        <w:rPr>
          <w:sz w:val="28"/>
          <w:szCs w:val="28"/>
        </w:rPr>
        <w:t xml:space="preserve">в границах Новосибирского района Новосибирской области </w:t>
      </w:r>
      <w:r w:rsidRPr="0098389D">
        <w:rPr>
          <w:sz w:val="28"/>
          <w:szCs w:val="28"/>
        </w:rPr>
        <w:t xml:space="preserve">устанавливаются следующие индикативные показатели: </w:t>
      </w:r>
    </w:p>
    <w:p w14:paraId="02285ABD"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 Количество плановых контрольных (надзорных) мероприятий, проведенных за отчетный период.</w:t>
      </w:r>
    </w:p>
    <w:p w14:paraId="612DAF11"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2. Количество внеплановых контрольных (надзорных) мероприятий, проведенных за отчетный период.</w:t>
      </w:r>
    </w:p>
    <w:p w14:paraId="30A2180A"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3. 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55810196"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4. Общее количество контрольных (надзорных) мероприятий с взаимодействием, проведенных за отчетный период.</w:t>
      </w:r>
    </w:p>
    <w:p w14:paraId="5126BC0C"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5. Количество контрольных (надзорных) мероприятий с взаимодействием по каждому виду контрольных (надзорных) мероприятий, проведенных за отчетный период.</w:t>
      </w:r>
    </w:p>
    <w:p w14:paraId="5608E90E"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6. Количество контрольных (надзорных) мероприятий, проведенных с использованием средств дистанционного взаимодействия, за отчетный период.</w:t>
      </w:r>
    </w:p>
    <w:p w14:paraId="2EE1AFFA"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7. Количество обязательных профилактических визитов, проведенных за отчетный период.</w:t>
      </w:r>
    </w:p>
    <w:p w14:paraId="2328E742"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8. Количество предостережений о недопустимости нарушения обязательных требований, объявленных за отчетный период.</w:t>
      </w:r>
    </w:p>
    <w:p w14:paraId="733C95DB"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9. Количество контрольных (надзорных) мероприятий, по результатам которых выявлены нарушения обязательных требований, за отчетный период.</w:t>
      </w:r>
    </w:p>
    <w:p w14:paraId="764DEC50"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10. Количество контрольных (надзорных) мероприятий, по итогам которых возбуждены дела об административных правонарушениях, за отчетный период.</w:t>
      </w:r>
    </w:p>
    <w:p w14:paraId="266FBFB6"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11. Сумма административных штрафов, наложенных по результатам контрольных (надзорных) мероприятий, за отчетный период.</w:t>
      </w:r>
    </w:p>
    <w:p w14:paraId="281A6C54"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12. Количество направленных в органы прокуратуры заявлений о согласовании проведения контрольных (надзорных) мероприятий, за отчетный период.</w:t>
      </w:r>
    </w:p>
    <w:p w14:paraId="18BAA9BC"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14:paraId="4C0E5542"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lastRenderedPageBreak/>
        <w:t>14. Общее количество учтенных объектов контроля на конец отчетного периода.</w:t>
      </w:r>
    </w:p>
    <w:p w14:paraId="5CE99526"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15. Количество учтенных объектов контроля, отнесенных к категориям риска, по каждой из категорий риска, на конец отчетного периода.</w:t>
      </w:r>
    </w:p>
    <w:p w14:paraId="080BBA49"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16. Количество учтенных контролируемых лиц на конец отчетного периода.</w:t>
      </w:r>
    </w:p>
    <w:p w14:paraId="44F63013"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17. Количество учтенных контролируемых лиц, в отношении которых проведены контрольные (надзорные) мероприятия, за отчетный период.</w:t>
      </w:r>
    </w:p>
    <w:p w14:paraId="339F3387"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18. Общее количество жалоб, поданных контролируемыми лицами в досудебном порядке за отчетный период.</w:t>
      </w:r>
    </w:p>
    <w:p w14:paraId="7D8887B9"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19. Количество жалоб, в отношении которых контрольным (надзорным) органом был нарушен срок рассмотрения, за отчетный период.</w:t>
      </w:r>
    </w:p>
    <w:p w14:paraId="79CBC18F"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20.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14:paraId="18CD86CF"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21.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1FB9706B" w14:textId="77777777" w:rsidR="004F3EB6" w:rsidRP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22.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281A7BB5" w14:textId="77777777" w:rsidR="004F3EB6" w:rsidRDefault="004F3EB6" w:rsidP="004F3EB6">
      <w:pPr>
        <w:autoSpaceDE w:val="0"/>
        <w:autoSpaceDN w:val="0"/>
        <w:adjustRightInd w:val="0"/>
        <w:ind w:firstLine="709"/>
        <w:jc w:val="both"/>
        <w:rPr>
          <w:rFonts w:eastAsiaTheme="minorHAnsi"/>
          <w:bCs/>
          <w:sz w:val="28"/>
          <w:szCs w:val="26"/>
          <w:lang w:eastAsia="en-US"/>
        </w:rPr>
      </w:pPr>
      <w:r w:rsidRPr="004F3EB6">
        <w:rPr>
          <w:rFonts w:eastAsiaTheme="minorHAnsi"/>
          <w:bCs/>
          <w:sz w:val="28"/>
          <w:szCs w:val="26"/>
          <w:lang w:eastAsia="en-US"/>
        </w:rPr>
        <w:t>23. 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1B08A97F" w14:textId="77777777" w:rsidR="007C6E03" w:rsidRPr="00A62DFC" w:rsidRDefault="007C6E03" w:rsidP="007C6E03">
      <w:pPr>
        <w:autoSpaceDE w:val="0"/>
        <w:autoSpaceDN w:val="0"/>
        <w:adjustRightInd w:val="0"/>
        <w:ind w:firstLine="709"/>
        <w:jc w:val="both"/>
        <w:rPr>
          <w:rFonts w:eastAsiaTheme="minorHAnsi"/>
          <w:bCs/>
          <w:sz w:val="28"/>
          <w:szCs w:val="26"/>
          <w:lang w:eastAsia="en-US"/>
        </w:rPr>
      </w:pPr>
    </w:p>
    <w:sectPr w:rsidR="007C6E03" w:rsidRPr="00A62DFC" w:rsidSect="00A40BC5">
      <w:headerReference w:type="even" r:id="rId8"/>
      <w:headerReference w:type="default" r:id="rId9"/>
      <w:pgSz w:w="11906" w:h="16838"/>
      <w:pgMar w:top="1134" w:right="567" w:bottom="1134" w:left="1418" w:header="567"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21B90" w14:textId="77777777" w:rsidR="00654A13" w:rsidRDefault="00654A13" w:rsidP="00755710">
      <w:r>
        <w:separator/>
      </w:r>
    </w:p>
  </w:endnote>
  <w:endnote w:type="continuationSeparator" w:id="0">
    <w:p w14:paraId="02A09F00" w14:textId="77777777" w:rsidR="00654A13" w:rsidRDefault="00654A13"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B3A3C" w14:textId="77777777" w:rsidR="00654A13" w:rsidRDefault="00654A13" w:rsidP="00755710">
      <w:r>
        <w:separator/>
      </w:r>
    </w:p>
  </w:footnote>
  <w:footnote w:type="continuationSeparator" w:id="0">
    <w:p w14:paraId="41DB665C" w14:textId="77777777" w:rsidR="00654A13" w:rsidRDefault="00654A13" w:rsidP="00755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87C9A" w14:textId="77777777" w:rsidR="003322D9" w:rsidRDefault="003322D9" w:rsidP="003322D9">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43E0E541" w14:textId="77777777" w:rsidR="003322D9" w:rsidRDefault="003322D9">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193269"/>
      <w:docPartObj>
        <w:docPartGallery w:val="Page Numbers (Top of Page)"/>
        <w:docPartUnique/>
      </w:docPartObj>
    </w:sdtPr>
    <w:sdtEndPr>
      <w:rPr>
        <w:sz w:val="20"/>
        <w:szCs w:val="20"/>
      </w:rPr>
    </w:sdtEndPr>
    <w:sdtContent>
      <w:p w14:paraId="7C7BBAA5" w14:textId="77777777" w:rsidR="003322D9" w:rsidRPr="00002E3E" w:rsidRDefault="003322D9" w:rsidP="00002E3E">
        <w:pPr>
          <w:pStyle w:val="af7"/>
          <w:jc w:val="center"/>
          <w:rPr>
            <w:sz w:val="20"/>
            <w:szCs w:val="20"/>
          </w:rPr>
        </w:pPr>
        <w:r w:rsidRPr="00002E3E">
          <w:rPr>
            <w:sz w:val="20"/>
            <w:szCs w:val="20"/>
          </w:rPr>
          <w:fldChar w:fldCharType="begin"/>
        </w:r>
        <w:r w:rsidRPr="00002E3E">
          <w:rPr>
            <w:sz w:val="20"/>
            <w:szCs w:val="20"/>
          </w:rPr>
          <w:instrText>PAGE   \* MERGEFORMAT</w:instrText>
        </w:r>
        <w:r w:rsidRPr="00002E3E">
          <w:rPr>
            <w:sz w:val="20"/>
            <w:szCs w:val="20"/>
          </w:rPr>
          <w:fldChar w:fldCharType="separate"/>
        </w:r>
        <w:r w:rsidR="00A40BC5">
          <w:rPr>
            <w:noProof/>
            <w:sz w:val="20"/>
            <w:szCs w:val="20"/>
          </w:rPr>
          <w:t>3</w:t>
        </w:r>
        <w:r w:rsidRPr="00002E3E">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96162"/>
    <w:multiLevelType w:val="hybridMultilevel"/>
    <w:tmpl w:val="D6D662A4"/>
    <w:lvl w:ilvl="0" w:tplc="7DDCD5C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3E568D3"/>
    <w:multiLevelType w:val="hybridMultilevel"/>
    <w:tmpl w:val="A4EED006"/>
    <w:lvl w:ilvl="0" w:tplc="7F9AC81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11A485F"/>
    <w:multiLevelType w:val="hybridMultilevel"/>
    <w:tmpl w:val="40B25B90"/>
    <w:lvl w:ilvl="0" w:tplc="966C56A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710"/>
    <w:rsid w:val="00002E3E"/>
    <w:rsid w:val="00057610"/>
    <w:rsid w:val="00074D5F"/>
    <w:rsid w:val="0007574A"/>
    <w:rsid w:val="0008000F"/>
    <w:rsid w:val="000A325E"/>
    <w:rsid w:val="000B13B7"/>
    <w:rsid w:val="000C4658"/>
    <w:rsid w:val="000C52F3"/>
    <w:rsid w:val="000D251E"/>
    <w:rsid w:val="000E437E"/>
    <w:rsid w:val="0010560A"/>
    <w:rsid w:val="001138AE"/>
    <w:rsid w:val="001154EA"/>
    <w:rsid w:val="0012583F"/>
    <w:rsid w:val="00192D8D"/>
    <w:rsid w:val="00194FBD"/>
    <w:rsid w:val="001A1F04"/>
    <w:rsid w:val="00224E4A"/>
    <w:rsid w:val="00232B7A"/>
    <w:rsid w:val="00245068"/>
    <w:rsid w:val="002458C7"/>
    <w:rsid w:val="0024740D"/>
    <w:rsid w:val="0026608E"/>
    <w:rsid w:val="00271D00"/>
    <w:rsid w:val="00293C28"/>
    <w:rsid w:val="00295A41"/>
    <w:rsid w:val="002A355D"/>
    <w:rsid w:val="002F23EF"/>
    <w:rsid w:val="003322D9"/>
    <w:rsid w:val="003365DF"/>
    <w:rsid w:val="00340FC2"/>
    <w:rsid w:val="00381BD1"/>
    <w:rsid w:val="0039118D"/>
    <w:rsid w:val="003E73AE"/>
    <w:rsid w:val="003F2F53"/>
    <w:rsid w:val="003F5BD1"/>
    <w:rsid w:val="0043636E"/>
    <w:rsid w:val="004373D8"/>
    <w:rsid w:val="00437F7C"/>
    <w:rsid w:val="0044134B"/>
    <w:rsid w:val="00442A54"/>
    <w:rsid w:val="00445FA5"/>
    <w:rsid w:val="004479C2"/>
    <w:rsid w:val="0046240E"/>
    <w:rsid w:val="0046270C"/>
    <w:rsid w:val="004630EE"/>
    <w:rsid w:val="0046717B"/>
    <w:rsid w:val="00473D1D"/>
    <w:rsid w:val="00484E4E"/>
    <w:rsid w:val="00490610"/>
    <w:rsid w:val="004A2D81"/>
    <w:rsid w:val="004B6666"/>
    <w:rsid w:val="004E0BB2"/>
    <w:rsid w:val="004F3EB6"/>
    <w:rsid w:val="004F7223"/>
    <w:rsid w:val="00500162"/>
    <w:rsid w:val="00540B68"/>
    <w:rsid w:val="00547658"/>
    <w:rsid w:val="00597373"/>
    <w:rsid w:val="005A05FA"/>
    <w:rsid w:val="005A3CA4"/>
    <w:rsid w:val="005A6CCA"/>
    <w:rsid w:val="005A7BAD"/>
    <w:rsid w:val="005B0930"/>
    <w:rsid w:val="005C6BAD"/>
    <w:rsid w:val="00603941"/>
    <w:rsid w:val="00610E74"/>
    <w:rsid w:val="006137C9"/>
    <w:rsid w:val="006276FD"/>
    <w:rsid w:val="00646949"/>
    <w:rsid w:val="0065103F"/>
    <w:rsid w:val="00654A13"/>
    <w:rsid w:val="0066431B"/>
    <w:rsid w:val="00667178"/>
    <w:rsid w:val="00681530"/>
    <w:rsid w:val="00687A52"/>
    <w:rsid w:val="00696D49"/>
    <w:rsid w:val="006A1FC8"/>
    <w:rsid w:val="006E310D"/>
    <w:rsid w:val="00705798"/>
    <w:rsid w:val="007260F1"/>
    <w:rsid w:val="00755359"/>
    <w:rsid w:val="00755710"/>
    <w:rsid w:val="007566CF"/>
    <w:rsid w:val="007B68C1"/>
    <w:rsid w:val="007C6E03"/>
    <w:rsid w:val="007E4825"/>
    <w:rsid w:val="007E6A66"/>
    <w:rsid w:val="00803A75"/>
    <w:rsid w:val="00840359"/>
    <w:rsid w:val="0084207B"/>
    <w:rsid w:val="00871176"/>
    <w:rsid w:val="008853A7"/>
    <w:rsid w:val="008957C5"/>
    <w:rsid w:val="008B06DF"/>
    <w:rsid w:val="008B6A35"/>
    <w:rsid w:val="008F70BD"/>
    <w:rsid w:val="009022FB"/>
    <w:rsid w:val="00905916"/>
    <w:rsid w:val="00924209"/>
    <w:rsid w:val="00926A47"/>
    <w:rsid w:val="00935631"/>
    <w:rsid w:val="009612B5"/>
    <w:rsid w:val="009651E9"/>
    <w:rsid w:val="0097160F"/>
    <w:rsid w:val="00996C81"/>
    <w:rsid w:val="009B6A4F"/>
    <w:rsid w:val="009D07EB"/>
    <w:rsid w:val="00A02A87"/>
    <w:rsid w:val="00A112E9"/>
    <w:rsid w:val="00A40BC5"/>
    <w:rsid w:val="00A47079"/>
    <w:rsid w:val="00A62DFC"/>
    <w:rsid w:val="00A96BD7"/>
    <w:rsid w:val="00AB57D5"/>
    <w:rsid w:val="00AD782E"/>
    <w:rsid w:val="00AE1814"/>
    <w:rsid w:val="00AE3AB6"/>
    <w:rsid w:val="00AF0AF6"/>
    <w:rsid w:val="00B41221"/>
    <w:rsid w:val="00B41992"/>
    <w:rsid w:val="00B85781"/>
    <w:rsid w:val="00C75ACF"/>
    <w:rsid w:val="00C917C0"/>
    <w:rsid w:val="00CD0799"/>
    <w:rsid w:val="00D020AD"/>
    <w:rsid w:val="00D138A8"/>
    <w:rsid w:val="00D15B31"/>
    <w:rsid w:val="00D35587"/>
    <w:rsid w:val="00D37B74"/>
    <w:rsid w:val="00D40276"/>
    <w:rsid w:val="00D54B0B"/>
    <w:rsid w:val="00D80AE1"/>
    <w:rsid w:val="00DA24D0"/>
    <w:rsid w:val="00DE7488"/>
    <w:rsid w:val="00E03D74"/>
    <w:rsid w:val="00E06BD5"/>
    <w:rsid w:val="00E20405"/>
    <w:rsid w:val="00E20C3F"/>
    <w:rsid w:val="00E335CB"/>
    <w:rsid w:val="00E43E37"/>
    <w:rsid w:val="00E65A79"/>
    <w:rsid w:val="00E7614F"/>
    <w:rsid w:val="00E849B7"/>
    <w:rsid w:val="00E92F0E"/>
    <w:rsid w:val="00EA71AA"/>
    <w:rsid w:val="00EB6158"/>
    <w:rsid w:val="00F02DBE"/>
    <w:rsid w:val="00F20771"/>
    <w:rsid w:val="00F21D41"/>
    <w:rsid w:val="00F264C1"/>
    <w:rsid w:val="00F37038"/>
    <w:rsid w:val="00F4088B"/>
    <w:rsid w:val="00F43BDF"/>
    <w:rsid w:val="00F66A48"/>
    <w:rsid w:val="00F837DB"/>
    <w:rsid w:val="00F92D8D"/>
    <w:rsid w:val="00FA09FB"/>
    <w:rsid w:val="00FD5F35"/>
    <w:rsid w:val="00FE1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2E67C"/>
  <w15:docId w15:val="{0DFE09E9-EB3E-46ED-85F1-92F578AF7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styleId="aff3">
    <w:name w:val="List Paragraph"/>
    <w:basedOn w:val="a"/>
    <w:uiPriority w:val="34"/>
    <w:qFormat/>
    <w:rsid w:val="0005761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f4">
    <w:name w:val="Знак Знак Знак Знак Знак Знак Знак Знак Знак Знак Знак Знак"/>
    <w:basedOn w:val="a"/>
    <w:rsid w:val="000C52F3"/>
    <w:pPr>
      <w:spacing w:before="100" w:beforeAutospacing="1" w:after="100" w:afterAutospacing="1"/>
      <w:jc w:val="both"/>
    </w:pPr>
    <w:rPr>
      <w:rFonts w:ascii="Tahoma" w:hAnsi="Tahoma"/>
      <w:sz w:val="20"/>
      <w:szCs w:val="20"/>
      <w:lang w:val="en-US" w:eastAsia="en-US"/>
    </w:rPr>
  </w:style>
  <w:style w:type="paragraph" w:customStyle="1" w:styleId="Default">
    <w:name w:val="Default"/>
    <w:rsid w:val="00293C2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898E2-D95F-4335-9A09-584EE6D9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732</Words>
  <Characters>4174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Александровна Бурова</cp:lastModifiedBy>
  <cp:revision>15</cp:revision>
  <cp:lastPrinted>2022-01-28T03:36:00Z</cp:lastPrinted>
  <dcterms:created xsi:type="dcterms:W3CDTF">2021-10-22T02:17:00Z</dcterms:created>
  <dcterms:modified xsi:type="dcterms:W3CDTF">2022-01-31T03:01:00Z</dcterms:modified>
</cp:coreProperties>
</file>