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4642"/>
        <w:gridCol w:w="1028"/>
        <w:gridCol w:w="4219"/>
      </w:tblGrid>
      <w:tr>
        <w:tblPrEx/>
        <w:trPr>
          <w:trHeight w:val="2655"/>
        </w:trPr>
        <w:tc>
          <w:tcPr>
            <w:tcW w:w="4642" w:type="dxa"/>
            <w:textDirection w:val="lrTb"/>
            <w:noWrap w:val="false"/>
          </w:tcPr>
          <w:p>
            <w:pPr>
              <w:pStyle w:val="780"/>
              <w:jc w:val="center"/>
              <w:rPr>
                <w:b/>
              </w:rPr>
            </w:pPr>
            <w:r>
              <w:rPr>
                <w:b/>
              </w:rPr>
              <w:t xml:space="preserve">ГЛАВА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780"/>
              <w:jc w:val="center"/>
              <w:rPr>
                <w:b/>
              </w:rPr>
            </w:pPr>
            <w:r>
              <w:rPr>
                <w:b/>
              </w:rPr>
              <w:t xml:space="preserve">НОВОСИБИРСКОГО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780"/>
              <w:jc w:val="center"/>
              <w:rPr>
                <w:b/>
              </w:rPr>
            </w:pPr>
            <w:r>
              <w:rPr>
                <w:b/>
              </w:rPr>
              <w:t xml:space="preserve">НОВОСИБИРСКОЙ ОБЛАСТИ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780"/>
              <w:jc w:val="center"/>
            </w:pPr>
            <w:r>
              <w:t xml:space="preserve">ул.Коммунистическая, 33а,</w:t>
            </w:r>
            <w:r/>
          </w:p>
          <w:p>
            <w:pPr>
              <w:pStyle w:val="780"/>
              <w:jc w:val="center"/>
            </w:pPr>
            <w:r>
              <w:t xml:space="preserve">г.Новосибирск, 630007</w:t>
            </w:r>
            <w:r/>
          </w:p>
          <w:p>
            <w:pPr>
              <w:pStyle w:val="780"/>
              <w:jc w:val="center"/>
            </w:pPr>
            <w:r>
              <w:t xml:space="preserve">тел. 3734634 факс 3734570</w:t>
            </w:r>
            <w:r/>
          </w:p>
          <w:p>
            <w:pPr>
              <w:pStyle w:val="780"/>
              <w:jc w:val="center"/>
            </w:pPr>
            <w:r>
              <w:rPr>
                <w:lang w:val="en-US"/>
              </w:rPr>
              <w:t xml:space="preserve">E</w:t>
            </w:r>
            <w:r>
              <w:t xml:space="preserve">-</w:t>
            </w:r>
            <w:r>
              <w:rPr>
                <w:lang w:val="en-US"/>
              </w:rPr>
              <w:t xml:space="preserve">mail</w:t>
            </w:r>
            <w:r>
              <w:t xml:space="preserve">: </w:t>
            </w:r>
            <w:r>
              <w:rPr>
                <w:lang w:val="en-US"/>
              </w:rPr>
              <w:t xml:space="preserve">kancnr</w:t>
            </w:r>
            <w:r>
              <w:t xml:space="preserve">@</w:t>
            </w:r>
            <w:r>
              <w:rPr>
                <w:lang w:val="en-US"/>
              </w:rPr>
              <w:t xml:space="preserve">nso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/>
          </w:p>
          <w:p>
            <w:pPr>
              <w:pStyle w:val="780"/>
            </w:pPr>
            <w:r/>
            <w:r/>
          </w:p>
          <w:tbl>
            <w:tblPr>
              <w:tblW w:w="5576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709"/>
              <w:gridCol w:w="1843"/>
              <w:gridCol w:w="567"/>
              <w:gridCol w:w="2456"/>
            </w:tblGrid>
            <w:tr>
              <w:tblPrEx/>
              <w:trPr/>
              <w:tc>
                <w:tcPr>
                  <w:shd w:val="clear" w:color="auto" w:fill="auto"/>
                  <w:tcW w:w="709" w:type="dxa"/>
                  <w:textDirection w:val="lrTb"/>
                  <w:noWrap w:val="false"/>
                </w:tcPr>
                <w:p>
                  <w:pPr>
                    <w:pStyle w:val="780"/>
                    <w:ind w:left="72"/>
                    <w:jc w:val="center"/>
                    <w:spacing w:line="100" w:lineRule="atLeast"/>
                    <w:widowControl w:val="off"/>
                    <w:rPr>
                      <w:rFonts w:eastAsia="Calibri" w:cs="Mangal"/>
                      <w:lang w:val="de-DE" w:eastAsia="hi-IN" w:bidi="hi-IN"/>
                    </w:rPr>
                  </w:pPr>
                  <w:r>
                    <w:rPr>
                      <w:rFonts w:eastAsia="Calibri" w:cs="Mangal"/>
                      <w:lang w:val="de-DE" w:eastAsia="hi-IN" w:bidi="hi-IN"/>
                    </w:rPr>
                  </w:r>
                  <w:r>
                    <w:rPr>
                      <w:rFonts w:eastAsia="Calibri" w:cs="Mangal"/>
                      <w:lang w:val="de-DE" w:eastAsia="hi-IN" w:bidi="hi-IN"/>
                    </w:rPr>
                  </w:r>
                  <w:r>
                    <w:rPr>
                      <w:rFonts w:eastAsia="Calibri" w:cs="Mangal"/>
                      <w:lang w:val="de-DE" w:eastAsia="hi-IN" w:bidi="hi-IN"/>
                    </w:rPr>
                  </w:r>
                </w:p>
              </w:tc>
              <w:tc>
                <w:tcPr>
                  <w:gridSpan w:val="3"/>
                  <w:shd w:val="clear" w:color="auto" w:fill="auto"/>
                  <w:tcBorders>
                    <w:bottom w:val="single" w:color="000000" w:sz="4" w:space="0"/>
                  </w:tcBorders>
                  <w:tcW w:w="4866" w:type="dxa"/>
                  <w:textDirection w:val="lrTb"/>
                  <w:noWrap w:val="false"/>
                </w:tcPr>
                <w:p>
                  <w:pPr>
                    <w:pStyle w:val="780"/>
                    <w:spacing w:line="100" w:lineRule="atLeast"/>
                    <w:widowControl w:val="off"/>
                    <w:rPr>
                      <w:rFonts w:eastAsia="Calibri" w:cs="Mangal"/>
                      <w:color w:val="f2f2f2"/>
                      <w:lang w:eastAsia="hi-IN" w:bidi="hi-IN"/>
                    </w:rPr>
                  </w:pPr>
                  <w:r>
                    <w:rPr>
                      <w:rFonts w:eastAsia="Arial Unicode MS" w:cs="Mangal"/>
                      <w:lang w:val="de-DE" w:eastAsia="hi-IN" w:bidi="hi-IN"/>
                    </w:rPr>
                    <w:t xml:space="preserve">          </w:t>
                  </w:r>
                  <w:r>
                    <w:rPr>
                      <w:rFonts w:eastAsia="Arial Unicode MS" w:cs="Mangal"/>
                      <w:color w:val="f2f2f2"/>
                      <w:lang w:val="de-DE" w:eastAsia="hi-IN" w:bidi="hi-IN"/>
                    </w:rPr>
                    <w:t xml:space="preserve"> </w:t>
                  </w:r>
                  <w:r>
                    <w:rPr>
                      <w:rFonts w:eastAsia="Arial Unicode MS" w:cs="Mangal"/>
                      <w:color w:val="f2f2f2"/>
                      <w:lang w:eastAsia="hi-IN" w:bidi="hi-IN"/>
                    </w:rPr>
                    <w:t xml:space="preserve">[МЕСТО ДЛЯ ШТАМПА]</w:t>
                  </w:r>
                  <w:r>
                    <w:rPr>
                      <w:rFonts w:eastAsia="Calibri" w:cs="Mangal"/>
                      <w:color w:val="f2f2f2"/>
                      <w:lang w:eastAsia="hi-IN" w:bidi="hi-IN"/>
                    </w:rPr>
                  </w:r>
                  <w:r>
                    <w:rPr>
                      <w:rFonts w:eastAsia="Calibri" w:cs="Mangal"/>
                      <w:color w:val="f2f2f2"/>
                      <w:lang w:eastAsia="hi-IN" w:bidi="hi-IN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709" w:type="dxa"/>
                  <w:textDirection w:val="lrTb"/>
                  <w:noWrap w:val="false"/>
                </w:tcPr>
                <w:p>
                  <w:pPr>
                    <w:pStyle w:val="780"/>
                    <w:spacing w:line="100" w:lineRule="atLeast"/>
                    <w:widowControl w:val="off"/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</w:pPr>
                  <w:r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  <w:t xml:space="preserve">На №</w:t>
                  </w:r>
                  <w:r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</w:r>
                  <w:r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</w:r>
                </w:p>
              </w:tc>
              <w:tc>
                <w:tcPr>
                  <w:shd w:val="clear" w:color="auto" w:fill="auto"/>
                  <w:tcBorders>
                    <w:top w:val="single" w:color="000000" w:sz="4" w:space="0"/>
                    <w:bottom w:val="single" w:color="000000" w:sz="4" w:space="0"/>
                  </w:tcBorders>
                  <w:tcW w:w="1843" w:type="dxa"/>
                  <w:textDirection w:val="lrTb"/>
                  <w:noWrap w:val="false"/>
                </w:tcPr>
                <w:p>
                  <w:pPr>
                    <w:pStyle w:val="780"/>
                    <w:jc w:val="center"/>
                    <w:spacing w:line="100" w:lineRule="atLeast"/>
                    <w:widowControl w:val="off"/>
                    <w:rPr>
                      <w:rFonts w:eastAsia="Calibri" w:cs="Mangal"/>
                      <w:lang w:eastAsia="hi-IN" w:bidi="hi-IN"/>
                    </w:rPr>
                  </w:pPr>
                  <w:r>
                    <w:rPr>
                      <w:rFonts w:eastAsia="Calibri" w:cs="Mangal"/>
                      <w:lang w:eastAsia="hi-IN" w:bidi="hi-IN"/>
                    </w:rPr>
                  </w:r>
                  <w:r>
                    <w:rPr>
                      <w:rFonts w:eastAsia="Calibri" w:cs="Mangal"/>
                      <w:lang w:eastAsia="hi-IN" w:bidi="hi-IN"/>
                    </w:rPr>
                  </w:r>
                  <w:r>
                    <w:rPr>
                      <w:rFonts w:eastAsia="Calibri" w:cs="Mangal"/>
                      <w:lang w:eastAsia="hi-IN" w:bidi="hi-IN"/>
                    </w:rPr>
                  </w:r>
                </w:p>
              </w:tc>
              <w:tc>
                <w:tcPr>
                  <w:shd w:val="clear" w:color="auto" w:fill="auto"/>
                  <w:tcBorders>
                    <w:top w:val="single" w:color="000000" w:sz="4" w:space="0"/>
                  </w:tcBorders>
                  <w:tcW w:w="567" w:type="dxa"/>
                  <w:textDirection w:val="lrTb"/>
                  <w:noWrap w:val="false"/>
                </w:tcPr>
                <w:p>
                  <w:pPr>
                    <w:pStyle w:val="780"/>
                    <w:jc w:val="center"/>
                    <w:spacing w:line="100" w:lineRule="atLeast"/>
                    <w:widowControl w:val="off"/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</w:pPr>
                  <w:r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  <w:t xml:space="preserve">от</w:t>
                  </w:r>
                  <w:r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</w:r>
                  <w:r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</w:r>
                </w:p>
              </w:tc>
              <w:tc>
                <w:tcPr>
                  <w:shd w:val="clear" w:color="auto" w:fill="auto"/>
                  <w:tcBorders>
                    <w:top w:val="single" w:color="000000" w:sz="4" w:space="0"/>
                    <w:bottom w:val="single" w:color="000000" w:sz="4" w:space="0"/>
                  </w:tcBorders>
                  <w:tcW w:w="2456" w:type="dxa"/>
                  <w:textDirection w:val="lrTb"/>
                  <w:noWrap w:val="false"/>
                </w:tcPr>
                <w:p>
                  <w:pPr>
                    <w:pStyle w:val="780"/>
                    <w:jc w:val="center"/>
                    <w:spacing w:line="100" w:lineRule="atLeast"/>
                    <w:widowControl w:val="off"/>
                    <w:rPr>
                      <w:rFonts w:eastAsia="Calibri" w:cs="Mangal"/>
                      <w:lang w:eastAsia="hi-IN" w:bidi="hi-IN"/>
                    </w:rPr>
                  </w:pPr>
                  <w:r>
                    <w:rPr>
                      <w:rFonts w:eastAsia="Calibri" w:cs="Mangal"/>
                      <w:lang w:eastAsia="hi-IN" w:bidi="hi-IN"/>
                    </w:rPr>
                  </w:r>
                  <w:r>
                    <w:rPr>
                      <w:rFonts w:eastAsia="Calibri" w:cs="Mangal"/>
                      <w:lang w:eastAsia="hi-IN" w:bidi="hi-IN"/>
                    </w:rPr>
                  </w:r>
                  <w:r>
                    <w:rPr>
                      <w:rFonts w:eastAsia="Calibri" w:cs="Mangal"/>
                      <w:lang w:eastAsia="hi-IN" w:bidi="hi-IN"/>
                    </w:rPr>
                  </w:r>
                </w:p>
              </w:tc>
            </w:tr>
          </w:tbl>
          <w:p>
            <w:pPr>
              <w:pStyle w:val="780"/>
              <w:tabs>
                <w:tab w:val="left" w:pos="600" w:leader="none"/>
                <w:tab w:val="clear" w:pos="708" w:leader="none"/>
                <w:tab w:val="left" w:pos="4253" w:leader="none"/>
              </w:tabs>
            </w:pPr>
            <w:r/>
            <w:r/>
          </w:p>
        </w:tc>
        <w:tc>
          <w:tcPr>
            <w:tcW w:w="1028" w:type="dxa"/>
            <w:textDirection w:val="lrTb"/>
            <w:noWrap w:val="false"/>
          </w:tcPr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19" w:type="dxa"/>
            <w:textDirection w:val="lrTb"/>
            <w:noWrap w:val="false"/>
          </w:tcPr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Председателю Совета депутатов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С.А.Зубкову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утратившим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силу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решения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780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</w:r>
      <w:r>
        <w:rPr>
          <w:color w:val="000000"/>
          <w:sz w:val="44"/>
          <w:szCs w:val="44"/>
        </w:rPr>
      </w:r>
      <w:r>
        <w:rPr>
          <w:color w:val="000000"/>
          <w:sz w:val="44"/>
          <w:szCs w:val="44"/>
        </w:rPr>
      </w:r>
    </w:p>
    <w:p>
      <w:pPr>
        <w:pStyle w:val="78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Уважаемый Сергей Алексеевич</w:t>
      </w:r>
      <w:r>
        <w:rPr>
          <w:sz w:val="28"/>
          <w:szCs w:val="28"/>
        </w:rPr>
        <w:t xml:space="preserve">!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2"/>
        <w:ind w:firstLine="709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Направля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ю Вам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рассмотрение проект решения Совета депутатов Новосибирского района Новосибирской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</w:t>
      </w:r>
      <w:r/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утратившим силу решения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Новосибирского района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от 11.11.2021 г. № 10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Положения о муниципальном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лесном контроле в границах Новосибирского района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.</w:t>
      </w:r>
      <w:r/>
      <w:r/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780"/>
        <w:ind w:firstLine="0"/>
        <w:jc w:val="both"/>
        <w:rPr>
          <w:bCs/>
          <w:color w:val="000000"/>
          <w:sz w:val="28"/>
          <w:szCs w:val="28"/>
          <w:lang w:eastAsia="zh-CN"/>
        </w:rPr>
      </w:pPr>
      <w:r>
        <w:rPr>
          <w:bCs/>
          <w:color w:val="000000"/>
          <w:sz w:val="28"/>
          <w:szCs w:val="28"/>
          <w:lang w:eastAsia="zh-CN"/>
        </w:rPr>
      </w:r>
      <w:r>
        <w:rPr>
          <w:bCs/>
          <w:color w:val="000000"/>
          <w:sz w:val="28"/>
          <w:szCs w:val="28"/>
          <w:lang w:eastAsia="zh-CN"/>
        </w:rPr>
      </w:r>
      <w:r>
        <w:rPr>
          <w:bCs/>
          <w:color w:val="000000"/>
          <w:sz w:val="28"/>
          <w:szCs w:val="28"/>
          <w:lang w:eastAsia="zh-CN"/>
        </w:rPr>
      </w:r>
    </w:p>
    <w:p>
      <w:pPr>
        <w:pStyle w:val="780"/>
        <w:jc w:val="both"/>
        <w:rPr>
          <w:color w:val="000000"/>
          <w:sz w:val="28"/>
          <w:szCs w:val="28"/>
          <w:highlight w:val="none"/>
        </w:rPr>
      </w:pPr>
      <w:r>
        <w:rPr>
          <w:bCs/>
          <w:color w:val="000000"/>
          <w:sz w:val="28"/>
          <w:szCs w:val="27"/>
          <w:lang w:eastAsia="zh-CN"/>
        </w:rPr>
        <w:t xml:space="preserve">Приложения</w:t>
      </w:r>
      <w:r>
        <w:rPr>
          <w:bCs/>
          <w:color w:val="000000"/>
          <w:sz w:val="28"/>
          <w:szCs w:val="27"/>
          <w:highlight w:val="white"/>
          <w:lang w:eastAsia="zh-CN"/>
        </w:rPr>
        <w:t xml:space="preserve">:   1. </w:t>
      </w:r>
      <w:r>
        <w:rPr>
          <w:sz w:val="28"/>
          <w:szCs w:val="28"/>
          <w:highlight w:val="white"/>
        </w:rPr>
        <w:t xml:space="preserve">Финансово-экономическое обоснование на 1 л. в 1 экз</w:t>
      </w:r>
      <w:r>
        <w:rPr>
          <w:bCs/>
          <w:color w:val="000000"/>
          <w:sz w:val="28"/>
          <w:szCs w:val="27"/>
          <w:highlight w:val="white"/>
          <w:lang w:eastAsia="zh-CN"/>
        </w:rPr>
        <w:t xml:space="preserve">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780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7"/>
          <w:highlight w:val="white"/>
          <w:lang w:eastAsia="zh-CN"/>
        </w:rPr>
        <w:t xml:space="preserve">                          </w:t>
      </w:r>
      <w:r>
        <w:rPr>
          <w:bCs/>
          <w:color w:val="000000"/>
          <w:sz w:val="28"/>
          <w:szCs w:val="27"/>
          <w:highlight w:val="white"/>
          <w:lang w:eastAsia="zh-CN"/>
        </w:rPr>
        <w:t xml:space="preserve">2. </w:t>
      </w:r>
      <w:r>
        <w:rPr>
          <w:sz w:val="28"/>
          <w:szCs w:val="28"/>
          <w:highlight w:val="white"/>
        </w:rPr>
        <w:t xml:space="preserve">Пояснительная записка на 1 л. в 1 экз.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ind w:left="1814" w:right="0" w:firstLine="0"/>
        <w:jc w:val="both"/>
        <w:spacing w:before="0" w:beforeAutospacing="0" w:after="0" w:afterAutospacing="0" w:line="240" w:lineRule="auto"/>
        <w:widowControl/>
        <w:tabs>
          <w:tab w:val="clear" w:pos="708" w:leader="none"/>
          <w:tab w:val="left" w:pos="1875" w:leader="none"/>
        </w:tabs>
        <w:rPr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  <w:t xml:space="preserve">3. </w:t>
      </w:r>
      <w:r>
        <w:rPr>
          <w:bCs/>
          <w:color w:val="000000"/>
          <w:sz w:val="28"/>
          <w:szCs w:val="27"/>
          <w:lang w:eastAsia="zh-CN"/>
        </w:rPr>
        <w:t xml:space="preserve">Перечень решений Совета депутатов Новосибирского района    на 1 л. в 1 экз.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1814" w:right="0" w:firstLine="0"/>
        <w:jc w:val="both"/>
        <w:spacing w:before="0" w:beforeAutospacing="0" w:after="0" w:afterAutospacing="0" w:line="240" w:lineRule="auto"/>
        <w:widowControl/>
        <w:tabs>
          <w:tab w:val="clear" w:pos="708" w:leader="none"/>
          <w:tab w:val="left" w:pos="1875" w:leader="none"/>
        </w:tabs>
      </w:pPr>
      <w:r>
        <w:rPr>
          <w:sz w:val="28"/>
          <w:szCs w:val="28"/>
          <w:highlight w:val="none"/>
        </w:rPr>
        <w:t xml:space="preserve">4. </w:t>
      </w:r>
      <w:r>
        <w:rPr>
          <w:bCs/>
          <w:color w:val="000000"/>
          <w:sz w:val="28"/>
          <w:szCs w:val="27"/>
          <w:lang w:eastAsia="zh-CN"/>
        </w:rPr>
        <w:t xml:space="preserve">Проект решения Совета депутатов Новосибирского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</w:t>
      </w:r>
      <w:r>
        <w:rPr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утратившим силу решения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Новосибирского района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от 11.11.2021 г.  № 10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Положения о муниципальном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лесном контроле в границах Новосибирского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sz w:val="28"/>
          <w:szCs w:val="28"/>
        </w:rPr>
        <w:t xml:space="preserve">» на 1 л. в 1 экз.</w:t>
      </w:r>
      <w:r>
        <w:rPr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ind w:left="1814" w:right="0" w:firstLine="0"/>
        <w:jc w:val="both"/>
        <w:spacing w:before="0" w:beforeAutospacing="0" w:after="0" w:afterAutospacing="0" w:line="240" w:lineRule="auto"/>
        <w:widowControl/>
        <w:tabs>
          <w:tab w:val="clear" w:pos="708" w:leader="none"/>
          <w:tab w:val="left" w:pos="1875" w:leader="none"/>
        </w:tabs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left="1814" w:right="0" w:firstLine="0"/>
        <w:jc w:val="both"/>
        <w:spacing w:before="0" w:beforeAutospacing="0" w:after="0" w:afterAutospacing="0" w:line="240" w:lineRule="auto"/>
        <w:widowControl/>
        <w:tabs>
          <w:tab w:val="clear" w:pos="708" w:leader="none"/>
          <w:tab w:val="left" w:pos="1875" w:leader="none"/>
        </w:tabs>
        <w:rPr>
          <w:color w:val="00000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780"/>
        <w:jc w:val="right"/>
        <w:rPr>
          <w:sz w:val="28"/>
          <w:szCs w:val="28"/>
        </w:rPr>
      </w:pPr>
      <w:r/>
      <w:bookmarkStart w:id="0" w:name="_GoBack"/>
      <w:r/>
      <w:bookmarkEnd w:id="0"/>
      <w:r>
        <w:rPr>
          <w:sz w:val="28"/>
          <w:szCs w:val="28"/>
        </w:rPr>
        <w:t xml:space="preserve">А.Г.Михайлов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0"/>
        <w:jc w:val="both"/>
        <w:spacing w:line="100" w:lineRule="atLeast"/>
        <w:widowControl w:val="off"/>
        <w:rPr>
          <w:rFonts w:eastAsia="Arial Unicode MS" w:cs="Mangal"/>
          <w:color w:val="f2f2f2"/>
          <w:sz w:val="28"/>
          <w:szCs w:val="28"/>
          <w:lang w:eastAsia="hi-IN" w:bidi="hi-IN"/>
        </w:rPr>
      </w:pPr>
      <w:r>
        <w:rPr>
          <w:rFonts w:eastAsia="Arial Unicode MS" w:cs="Mangal"/>
          <w:sz w:val="28"/>
          <w:szCs w:val="28"/>
          <w:lang w:eastAsia="hi-IN" w:bidi="hi-IN"/>
        </w:rPr>
        <w:t xml:space="preserve">                                                                         </w:t>
      </w:r>
      <w:r>
        <w:rPr>
          <w:rFonts w:eastAsia="Arial Unicode MS" w:cs="Mangal"/>
          <w:color w:val="f2f2f2"/>
          <w:lang w:eastAsia="hi-IN" w:bidi="hi-IN"/>
        </w:rPr>
        <w:t xml:space="preserve">[МЕСТО ДЛЯ ПОДПИСИ]</w:t>
      </w:r>
      <w:r>
        <w:rPr>
          <w:rFonts w:eastAsia="Arial Unicode MS" w:cs="Mangal"/>
          <w:color w:val="f2f2f2"/>
          <w:sz w:val="28"/>
          <w:szCs w:val="28"/>
          <w:lang w:eastAsia="hi-IN" w:bidi="hi-IN"/>
        </w:rPr>
      </w:r>
      <w:r>
        <w:rPr>
          <w:rFonts w:eastAsia="Arial Unicode MS" w:cs="Mangal"/>
          <w:color w:val="f2f2f2"/>
          <w:sz w:val="28"/>
          <w:szCs w:val="28"/>
          <w:lang w:eastAsia="hi-IN" w:bidi="hi-IN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32"/>
          <w:szCs w:val="32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  <w:shd w:val="clear" w:color="auto" w:fill="auto"/>
        </w:rPr>
      </w:pPr>
      <w:r>
        <w:rPr>
          <w:sz w:val="24"/>
          <w:szCs w:val="24"/>
          <w:shd w:val="clear" w:color="auto" w:fill="auto"/>
        </w:rPr>
        <w:t xml:space="preserve">У.М.Трейерова</w:t>
      </w: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  <w:shd w:val="clear" w:color="auto" w:fill="auto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32"/>
          <w:szCs w:val="32"/>
          <w:highlight w:val="none"/>
          <w:shd w:val="clear" w:color="auto" w:fill="auto"/>
        </w:rPr>
      </w:pPr>
      <w:r>
        <w:rPr>
          <w:sz w:val="24"/>
          <w:szCs w:val="24"/>
          <w:shd w:val="clear" w:color="auto" w:fill="auto"/>
        </w:rPr>
        <w:t xml:space="preserve">373 46 73</w:t>
      </w:r>
      <w:r>
        <w:rPr>
          <w:sz w:val="32"/>
          <w:szCs w:val="32"/>
          <w:highlight w:val="none"/>
          <w:shd w:val="clear" w:color="auto" w:fill="auto"/>
        </w:rPr>
      </w:r>
      <w:r>
        <w:rPr>
          <w:sz w:val="32"/>
          <w:szCs w:val="32"/>
          <w:highlight w:val="none"/>
          <w:shd w:val="clear" w:color="auto" w:fill="auto"/>
        </w:rPr>
      </w:r>
    </w:p>
    <w:sectPr>
      <w:footnotePr/>
      <w:endnotePr/>
      <w:type w:val="nextPage"/>
      <w:pgSz w:w="11906" w:h="16838" w:orient="portrait"/>
      <w:pgMar w:top="1134" w:right="567" w:bottom="1134" w:left="1417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Calibri">
    <w:panose1 w:val="020F0502020204030204"/>
  </w:font>
  <w:font w:name="Noto Sans">
    <w:panose1 w:val="020B0502040504020204"/>
  </w:font>
  <w:font w:name="Liberation Sans">
    <w:panose1 w:val="020B0604020202020204"/>
  </w:font>
  <w:font w:name="Segoe UI">
    <w:panose1 w:val="020B050204050402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6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6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80" w:default="1">
    <w:name w:val="Normal"/>
    <w:qFormat/>
    <w:pPr>
      <w:jc w:val="left"/>
      <w:spacing w:before="0" w:beforeAutospacing="0" w:after="0" w:afterAutospacing="0" w:line="240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781">
    <w:name w:val="Heading 1"/>
    <w:basedOn w:val="7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2">
    <w:name w:val="Heading 2"/>
    <w:basedOn w:val="7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3">
    <w:name w:val="Heading 3"/>
    <w:basedOn w:val="7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4">
    <w:name w:val="Heading 4"/>
    <w:basedOn w:val="7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5">
    <w:name w:val="Heading 5"/>
    <w:basedOn w:val="7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7">
    <w:name w:val="Heading 7"/>
    <w:basedOn w:val="7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7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89">
    <w:name w:val="Heading 9"/>
    <w:basedOn w:val="7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0">
    <w:name w:val="Heading 1 Char"/>
    <w:basedOn w:val="813"/>
    <w:uiPriority w:val="9"/>
    <w:qFormat/>
    <w:rPr>
      <w:rFonts w:ascii="Arial" w:hAnsi="Arial" w:eastAsia="Arial" w:cs="Arial"/>
      <w:sz w:val="40"/>
      <w:szCs w:val="40"/>
    </w:rPr>
  </w:style>
  <w:style w:type="character" w:styleId="791">
    <w:name w:val="Heading 2 Char"/>
    <w:basedOn w:val="813"/>
    <w:uiPriority w:val="9"/>
    <w:qFormat/>
    <w:rPr>
      <w:rFonts w:ascii="Arial" w:hAnsi="Arial" w:eastAsia="Arial" w:cs="Arial"/>
      <w:sz w:val="34"/>
    </w:rPr>
  </w:style>
  <w:style w:type="character" w:styleId="792">
    <w:name w:val="Heading 3 Char"/>
    <w:basedOn w:val="813"/>
    <w:uiPriority w:val="9"/>
    <w:qFormat/>
    <w:rPr>
      <w:rFonts w:ascii="Arial" w:hAnsi="Arial" w:eastAsia="Arial" w:cs="Arial"/>
      <w:sz w:val="30"/>
      <w:szCs w:val="30"/>
    </w:rPr>
  </w:style>
  <w:style w:type="character" w:styleId="793">
    <w:name w:val="Heading 4 Char"/>
    <w:basedOn w:val="81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4">
    <w:name w:val="Heading 5 Char"/>
    <w:basedOn w:val="81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95">
    <w:name w:val="Heading 6 Char"/>
    <w:basedOn w:val="81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6">
    <w:name w:val="Heading 7 Char"/>
    <w:basedOn w:val="81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97">
    <w:name w:val="Heading 8 Char"/>
    <w:basedOn w:val="813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98">
    <w:name w:val="Heading 9 Char"/>
    <w:basedOn w:val="81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99">
    <w:name w:val="Title Char"/>
    <w:basedOn w:val="813"/>
    <w:uiPriority w:val="10"/>
    <w:qFormat/>
    <w:rPr>
      <w:sz w:val="48"/>
      <w:szCs w:val="48"/>
    </w:rPr>
  </w:style>
  <w:style w:type="character" w:styleId="800">
    <w:name w:val="Subtitle Char"/>
    <w:basedOn w:val="813"/>
    <w:uiPriority w:val="11"/>
    <w:qFormat/>
    <w:rPr>
      <w:sz w:val="24"/>
      <w:szCs w:val="24"/>
    </w:rPr>
  </w:style>
  <w:style w:type="character" w:styleId="801">
    <w:name w:val="Quote Char"/>
    <w:uiPriority w:val="29"/>
    <w:qFormat/>
    <w:rPr>
      <w:i/>
    </w:rPr>
  </w:style>
  <w:style w:type="character" w:styleId="802">
    <w:name w:val="Intense Quote Char"/>
    <w:uiPriority w:val="30"/>
    <w:qFormat/>
    <w:rPr>
      <w:i/>
    </w:rPr>
  </w:style>
  <w:style w:type="character" w:styleId="803">
    <w:name w:val="Header Char"/>
    <w:basedOn w:val="813"/>
    <w:uiPriority w:val="99"/>
    <w:qFormat/>
  </w:style>
  <w:style w:type="character" w:styleId="804">
    <w:name w:val="Footer Char"/>
    <w:basedOn w:val="813"/>
    <w:uiPriority w:val="99"/>
    <w:qFormat/>
  </w:style>
  <w:style w:type="character" w:styleId="805">
    <w:name w:val="Caption Char"/>
    <w:uiPriority w:val="99"/>
    <w:qFormat/>
  </w:style>
  <w:style w:type="character" w:styleId="806">
    <w:name w:val="Hyperlink"/>
    <w:uiPriority w:val="99"/>
    <w:unhideWhenUsed/>
    <w:rPr>
      <w:color w:val="0000ff" w:themeColor="hyperlink"/>
      <w:u w:val="single"/>
    </w:rPr>
  </w:style>
  <w:style w:type="character" w:styleId="807">
    <w:name w:val="Footnote Text Char"/>
    <w:uiPriority w:val="99"/>
    <w:qFormat/>
    <w:rPr>
      <w:sz w:val="18"/>
    </w:rPr>
  </w:style>
  <w:style w:type="character" w:styleId="808">
    <w:name w:val="Символ сноски"/>
    <w:uiPriority w:val="99"/>
    <w:unhideWhenUsed/>
    <w:qFormat/>
    <w:rPr>
      <w:vertAlign w:val="superscript"/>
    </w:rPr>
  </w:style>
  <w:style w:type="character" w:styleId="809">
    <w:name w:val="footnote reference"/>
    <w:rPr>
      <w:vertAlign w:val="superscript"/>
    </w:rPr>
  </w:style>
  <w:style w:type="character" w:styleId="810">
    <w:name w:val="Endnote Text Char"/>
    <w:uiPriority w:val="99"/>
    <w:qFormat/>
    <w:rPr>
      <w:sz w:val="20"/>
    </w:rPr>
  </w:style>
  <w:style w:type="character" w:styleId="81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12">
    <w:name w:val="endnote reference"/>
    <w:rPr>
      <w:vertAlign w:val="superscript"/>
    </w:rPr>
  </w:style>
  <w:style w:type="character" w:styleId="813" w:default="1">
    <w:name w:val="Default Paragraph Font"/>
    <w:uiPriority w:val="1"/>
    <w:semiHidden/>
    <w:unhideWhenUsed/>
    <w:qFormat/>
  </w:style>
  <w:style w:type="character" w:styleId="814" w:customStyle="1">
    <w:name w:val="Текст выноски Знак"/>
    <w:basedOn w:val="813"/>
    <w:uiPriority w:val="99"/>
    <w:semiHidden/>
    <w:qFormat/>
    <w:rPr>
      <w:rFonts w:ascii="Segoe UI" w:hAnsi="Segoe UI" w:eastAsia="Times New Roman" w:cs="Segoe UI"/>
      <w:sz w:val="18"/>
      <w:szCs w:val="18"/>
      <w:lang w:eastAsia="ru-RU"/>
    </w:rPr>
  </w:style>
  <w:style w:type="paragraph" w:styleId="815">
    <w:name w:val="Заголовок"/>
    <w:basedOn w:val="780"/>
    <w:next w:val="816"/>
    <w:qFormat/>
    <w:pPr>
      <w:keepNext/>
      <w:spacing w:before="240" w:after="120"/>
    </w:pPr>
    <w:rPr>
      <w:rFonts w:ascii="Liberation Sans" w:hAnsi="Liberation Sans" w:eastAsia="Noto Sans" w:cs="Noto Sans"/>
      <w:sz w:val="28"/>
      <w:szCs w:val="28"/>
    </w:rPr>
  </w:style>
  <w:style w:type="paragraph" w:styleId="816">
    <w:name w:val="Body Text"/>
    <w:basedOn w:val="780"/>
    <w:pPr>
      <w:spacing w:before="0" w:after="140" w:line="276" w:lineRule="auto"/>
    </w:pPr>
  </w:style>
  <w:style w:type="paragraph" w:styleId="817">
    <w:name w:val="List"/>
    <w:basedOn w:val="816"/>
  </w:style>
  <w:style w:type="paragraph" w:styleId="818">
    <w:name w:val="Caption"/>
    <w:basedOn w:val="7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19">
    <w:name w:val="Указатель"/>
    <w:basedOn w:val="780"/>
    <w:qFormat/>
    <w:pPr>
      <w:suppressLineNumbers/>
    </w:pPr>
  </w:style>
  <w:style w:type="paragraph" w:styleId="820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21">
    <w:name w:val="Title"/>
    <w:basedOn w:val="7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2">
    <w:name w:val="Subtitle"/>
    <w:basedOn w:val="780"/>
    <w:uiPriority w:val="11"/>
    <w:qFormat/>
    <w:pPr>
      <w:spacing w:before="200" w:after="200"/>
    </w:pPr>
    <w:rPr>
      <w:sz w:val="24"/>
      <w:szCs w:val="24"/>
    </w:rPr>
  </w:style>
  <w:style w:type="paragraph" w:styleId="823">
    <w:name w:val="Quote"/>
    <w:basedOn w:val="780"/>
    <w:uiPriority w:val="29"/>
    <w:qFormat/>
    <w:pPr>
      <w:ind w:left="720" w:right="720"/>
    </w:pPr>
    <w:rPr>
      <w:i/>
    </w:rPr>
  </w:style>
  <w:style w:type="paragraph" w:styleId="824">
    <w:name w:val="Intense Quote"/>
    <w:basedOn w:val="780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25">
    <w:name w:val="Колонтитул"/>
    <w:basedOn w:val="780"/>
    <w:qFormat/>
  </w:style>
  <w:style w:type="paragraph" w:styleId="826">
    <w:name w:val="Header"/>
    <w:basedOn w:val="780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27">
    <w:name w:val="Footer"/>
    <w:basedOn w:val="780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28">
    <w:name w:val="footnote text"/>
    <w:basedOn w:val="7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29">
    <w:name w:val="endnote text"/>
    <w:basedOn w:val="7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30">
    <w:name w:val="toc 1"/>
    <w:basedOn w:val="780"/>
    <w:uiPriority w:val="39"/>
    <w:unhideWhenUsed/>
    <w:pPr>
      <w:ind w:left="0" w:right="0" w:firstLine="0"/>
      <w:spacing w:before="0" w:after="57"/>
    </w:pPr>
  </w:style>
  <w:style w:type="paragraph" w:styleId="831">
    <w:name w:val="toc 2"/>
    <w:basedOn w:val="780"/>
    <w:uiPriority w:val="39"/>
    <w:unhideWhenUsed/>
    <w:pPr>
      <w:ind w:left="283" w:right="0" w:firstLine="0"/>
      <w:spacing w:before="0" w:after="57"/>
    </w:pPr>
  </w:style>
  <w:style w:type="paragraph" w:styleId="832">
    <w:name w:val="toc 3"/>
    <w:basedOn w:val="780"/>
    <w:uiPriority w:val="39"/>
    <w:unhideWhenUsed/>
    <w:pPr>
      <w:ind w:left="567" w:right="0" w:firstLine="0"/>
      <w:spacing w:before="0" w:after="57"/>
    </w:pPr>
  </w:style>
  <w:style w:type="paragraph" w:styleId="833">
    <w:name w:val="toc 4"/>
    <w:basedOn w:val="780"/>
    <w:uiPriority w:val="39"/>
    <w:unhideWhenUsed/>
    <w:pPr>
      <w:ind w:left="850" w:right="0" w:firstLine="0"/>
      <w:spacing w:before="0" w:after="57"/>
    </w:pPr>
  </w:style>
  <w:style w:type="paragraph" w:styleId="834">
    <w:name w:val="toc 5"/>
    <w:basedOn w:val="780"/>
    <w:uiPriority w:val="39"/>
    <w:unhideWhenUsed/>
    <w:pPr>
      <w:ind w:left="1134" w:right="0" w:firstLine="0"/>
      <w:spacing w:before="0" w:after="57"/>
    </w:pPr>
  </w:style>
  <w:style w:type="paragraph" w:styleId="835">
    <w:name w:val="toc 6"/>
    <w:basedOn w:val="780"/>
    <w:uiPriority w:val="39"/>
    <w:unhideWhenUsed/>
    <w:pPr>
      <w:ind w:left="1417" w:right="0" w:firstLine="0"/>
      <w:spacing w:before="0" w:after="57"/>
    </w:pPr>
  </w:style>
  <w:style w:type="paragraph" w:styleId="836">
    <w:name w:val="toc 7"/>
    <w:basedOn w:val="780"/>
    <w:uiPriority w:val="39"/>
    <w:unhideWhenUsed/>
    <w:pPr>
      <w:ind w:left="1701" w:right="0" w:firstLine="0"/>
      <w:spacing w:before="0" w:after="57"/>
    </w:pPr>
  </w:style>
  <w:style w:type="paragraph" w:styleId="837">
    <w:name w:val="toc 8"/>
    <w:basedOn w:val="780"/>
    <w:uiPriority w:val="39"/>
    <w:unhideWhenUsed/>
    <w:pPr>
      <w:ind w:left="1984" w:right="0" w:firstLine="0"/>
      <w:spacing w:before="0" w:after="57"/>
    </w:pPr>
  </w:style>
  <w:style w:type="paragraph" w:styleId="838">
    <w:name w:val="toc 9"/>
    <w:basedOn w:val="780"/>
    <w:uiPriority w:val="39"/>
    <w:unhideWhenUsed/>
    <w:pPr>
      <w:ind w:left="2268" w:right="0" w:firstLine="0"/>
      <w:spacing w:before="0" w:after="57"/>
    </w:pPr>
  </w:style>
  <w:style w:type="paragraph" w:styleId="839">
    <w:name w:val="Index Heading"/>
    <w:basedOn w:val="815"/>
  </w:style>
  <w:style w:type="paragraph" w:styleId="840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41">
    <w:name w:val="table of figures"/>
    <w:basedOn w:val="780"/>
    <w:uiPriority w:val="99"/>
    <w:unhideWhenUsed/>
    <w:pPr>
      <w:spacing w:before="0" w:after="0" w:afterAutospacing="0"/>
    </w:pPr>
  </w:style>
  <w:style w:type="paragraph" w:styleId="842" w:customStyle="1">
    <w:name w:val="ConsPlusTitle"/>
    <w:qFormat/>
    <w:pPr>
      <w:jc w:val="left"/>
      <w:spacing w:before="0" w:beforeAutospacing="0" w:after="0" w:afterAutospacing="0" w:line="240" w:lineRule="auto"/>
      <w:widowControl w:val="off"/>
    </w:pPr>
    <w:rPr>
      <w:rFonts w:ascii="Calibri" w:hAnsi="Calibri" w:eastAsia="Times New Roman" w:cs="Calibri" w:asciiTheme="minorHAnsi" w:hAnsiTheme="minorHAnsi"/>
      <w:b/>
      <w:color w:val="auto"/>
      <w:sz w:val="22"/>
      <w:szCs w:val="20"/>
      <w:lang w:val="ru-RU" w:eastAsia="ru-RU" w:bidi="ar-SA"/>
    </w:rPr>
  </w:style>
  <w:style w:type="paragraph" w:styleId="843">
    <w:name w:val="List Paragraph"/>
    <w:basedOn w:val="780"/>
    <w:uiPriority w:val="34"/>
    <w:qFormat/>
    <w:pPr>
      <w:contextualSpacing/>
      <w:ind w:left="720"/>
      <w:spacing w:before="0" w:after="0"/>
    </w:pPr>
  </w:style>
  <w:style w:type="paragraph" w:styleId="844">
    <w:name w:val="Balloon Text"/>
    <w:basedOn w:val="780"/>
    <w:uiPriority w:val="99"/>
    <w:semiHidden/>
    <w:unhideWhenUsed/>
    <w:qFormat/>
    <w:rPr>
      <w:rFonts w:ascii="Segoe UI" w:hAnsi="Segoe UI" w:cs="Segoe UI"/>
      <w:sz w:val="18"/>
      <w:szCs w:val="18"/>
    </w:rPr>
  </w:style>
  <w:style w:type="numbering" w:styleId="845" w:default="1">
    <w:name w:val="No List"/>
    <w:uiPriority w:val="99"/>
    <w:semiHidden/>
    <w:unhideWhenUsed/>
    <w:qFormat/>
  </w:style>
  <w:style w:type="table" w:styleId="84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Гагарина</dc:creator>
  <dc:description/>
  <dc:language>ru-RU</dc:language>
  <cp:revision>32</cp:revision>
  <dcterms:created xsi:type="dcterms:W3CDTF">2020-10-21T05:36:00Z</dcterms:created>
  <dcterms:modified xsi:type="dcterms:W3CDTF">2025-04-02T04:19:24Z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