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СОВЕТ ДЕПУТАТОВ НОВОСИБИРСКОГО РАЙОНА</w:t>
      </w:r>
      <w:r>
        <w:rPr>
          <w:rFonts w:eastAsia="Calibri"/>
          <w:b/>
          <w:bCs/>
          <w:sz w:val="28"/>
          <w:szCs w:val="28"/>
          <w:lang w:eastAsia="en-US"/>
        </w:rPr>
      </w:r>
      <w:r>
        <w:rPr>
          <w:rFonts w:eastAsia="Calibri"/>
          <w:b/>
          <w:bCs/>
          <w:sz w:val="28"/>
          <w:szCs w:val="28"/>
          <w:lang w:eastAsia="en-US"/>
        </w:rPr>
      </w:r>
    </w:p>
    <w:p>
      <w:pPr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НОВОСИБИРСКОЙ ОБЛАСТИ</w:t>
      </w:r>
      <w:r>
        <w:rPr>
          <w:rFonts w:eastAsia="Calibri"/>
          <w:b/>
          <w:bCs/>
          <w:sz w:val="28"/>
          <w:szCs w:val="28"/>
          <w:lang w:eastAsia="en-US"/>
        </w:rPr>
      </w:r>
      <w:r>
        <w:rPr>
          <w:rFonts w:eastAsia="Calibri"/>
          <w:b/>
          <w:bCs/>
          <w:sz w:val="28"/>
          <w:szCs w:val="28"/>
          <w:lang w:eastAsia="en-US"/>
        </w:rPr>
      </w:r>
    </w:p>
    <w:p>
      <w:pPr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четвёртого созыва</w:t>
      </w:r>
      <w:r>
        <w:rPr>
          <w:rFonts w:eastAsia="Calibri"/>
          <w:b/>
          <w:bCs/>
          <w:sz w:val="28"/>
          <w:szCs w:val="28"/>
          <w:lang w:eastAsia="en-US"/>
        </w:rPr>
      </w:r>
      <w:r>
        <w:rPr>
          <w:rFonts w:eastAsia="Calibri"/>
          <w:b/>
          <w:bCs/>
          <w:sz w:val="28"/>
          <w:szCs w:val="28"/>
          <w:lang w:eastAsia="en-US"/>
        </w:rPr>
      </w:r>
    </w:p>
    <w:p>
      <w:pPr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</w:r>
      <w:r>
        <w:rPr>
          <w:rFonts w:eastAsia="Calibri"/>
          <w:b/>
          <w:bCs/>
          <w:sz w:val="28"/>
          <w:szCs w:val="28"/>
          <w:lang w:eastAsia="en-US"/>
        </w:rPr>
      </w:r>
      <w:r>
        <w:rPr>
          <w:rFonts w:eastAsia="Calibri"/>
          <w:b/>
          <w:bCs/>
          <w:sz w:val="28"/>
          <w:szCs w:val="28"/>
          <w:lang w:eastAsia="en-US"/>
        </w:rPr>
      </w:r>
    </w:p>
    <w:p>
      <w:pPr>
        <w:ind w:firstLine="709"/>
        <w:jc w:val="center"/>
        <w:rPr>
          <w:rFonts w:eastAsia="Calibri"/>
          <w:b/>
          <w:bCs/>
          <w:sz w:val="32"/>
          <w:szCs w:val="32"/>
          <w:lang w:eastAsia="en-US"/>
        </w:rPr>
      </w:pPr>
      <w:r>
        <w:rPr>
          <w:rFonts w:eastAsia="Calibri"/>
          <w:b/>
          <w:bCs/>
          <w:sz w:val="32"/>
          <w:szCs w:val="32"/>
          <w:lang w:eastAsia="en-US"/>
        </w:rPr>
        <w:t xml:space="preserve">РЕШЕНИЕ</w:t>
      </w:r>
      <w:r>
        <w:rPr>
          <w:rFonts w:eastAsia="Calibri"/>
          <w:b/>
          <w:bCs/>
          <w:sz w:val="32"/>
          <w:szCs w:val="32"/>
          <w:lang w:eastAsia="en-US"/>
        </w:rPr>
      </w:r>
      <w:r>
        <w:rPr>
          <w:rFonts w:eastAsia="Calibri"/>
          <w:b/>
          <w:bCs/>
          <w:sz w:val="32"/>
          <w:szCs w:val="32"/>
          <w:lang w:eastAsia="en-US"/>
        </w:rPr>
      </w:r>
    </w:p>
    <w:p>
      <w:pPr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(сороковая сессия)</w:t>
      </w:r>
      <w:r>
        <w:rPr>
          <w:rFonts w:eastAsia="Calibri"/>
          <w:b/>
          <w:bCs/>
          <w:sz w:val="28"/>
          <w:szCs w:val="28"/>
          <w:lang w:eastAsia="en-US"/>
        </w:rPr>
      </w:r>
      <w:r>
        <w:rPr>
          <w:rFonts w:eastAsia="Calibri"/>
          <w:b/>
          <w:bCs/>
          <w:sz w:val="28"/>
          <w:szCs w:val="28"/>
          <w:lang w:eastAsia="en-US"/>
        </w:rPr>
      </w:r>
    </w:p>
    <w:p>
      <w:pPr>
        <w:ind w:left="0" w:right="0" w:firstLine="0"/>
        <w:jc w:val="left"/>
        <w:rPr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от «17</w:t>
      </w:r>
      <w:r>
        <w:rPr>
          <w:rFonts w:eastAsia="Calibri"/>
          <w:b/>
          <w:bCs/>
          <w:sz w:val="28"/>
          <w:szCs w:val="28"/>
          <w:lang w:eastAsia="en-US"/>
        </w:rPr>
        <w:t xml:space="preserve">»  апреля</w:t>
      </w:r>
      <w:r>
        <w:rPr>
          <w:rFonts w:eastAsia="Calibri"/>
          <w:b/>
          <w:bCs/>
          <w:sz w:val="28"/>
          <w:szCs w:val="28"/>
          <w:lang w:eastAsia="en-US"/>
        </w:rPr>
        <w:t xml:space="preserve"> 2025 г.                   г. Новосибирск                                        </w:t>
      </w:r>
      <w:r>
        <w:rPr>
          <w:rFonts w:eastAsia="Calibri"/>
          <w:b/>
          <w:bCs/>
          <w:sz w:val="28"/>
          <w:szCs w:val="28"/>
          <w:lang w:eastAsia="en-US"/>
        </w:rPr>
        <w:t xml:space="preserve">№  1</w:t>
      </w:r>
      <w:r>
        <w:rPr>
          <w:rFonts w:eastAsia="Calibri"/>
          <w:b/>
          <w:bCs/>
          <w:sz w:val="28"/>
          <w:szCs w:val="28"/>
          <w:lang w:eastAsia="en-US"/>
        </w:rPr>
        <w:t xml:space="preserve">      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center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 утверждении Положения о муниципальном земельном контроле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 границах Новосибирского района Новосибирской области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 признании утратившими силу некоторых решений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ind w:firstLine="709"/>
        <w:jc w:val="center"/>
        <w:rPr>
          <w:sz w:val="28"/>
          <w:szCs w:val="28"/>
          <w:highlight w:val="yellow"/>
        </w:rPr>
      </w:pPr>
      <w:r>
        <w:rPr>
          <w:b/>
          <w:bCs/>
          <w:color w:val="000000"/>
          <w:sz w:val="28"/>
          <w:szCs w:val="28"/>
        </w:rPr>
        <w:t xml:space="preserve">Совета депутатов Новосибирского района</w:t>
      </w:r>
      <w:r>
        <w:rPr>
          <w:b/>
          <w:bCs/>
          <w:color w:val="000000"/>
          <w:sz w:val="28"/>
          <w:szCs w:val="28"/>
        </w:rPr>
        <w:t xml:space="preserve"> Новосибирской области</w:t>
      </w: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</w:p>
    <w:p>
      <w:pPr>
        <w:ind w:firstLine="709"/>
        <w:shd w:val="clear" w:color="auto" w:fill="ffffff"/>
        <w:rPr>
          <w:b/>
          <w:color w:val="000000"/>
          <w:highlight w:val="yellow"/>
        </w:rPr>
      </w:pPr>
      <w:r>
        <w:rPr>
          <w:b/>
          <w:color w:val="000000"/>
          <w:highlight w:val="yellow"/>
        </w:rPr>
      </w:r>
      <w:r>
        <w:rPr>
          <w:b/>
          <w:color w:val="000000"/>
          <w:highlight w:val="yellow"/>
        </w:rPr>
      </w:r>
      <w:r>
        <w:rPr>
          <w:b/>
          <w:color w:val="000000"/>
          <w:highlight w:val="yellow"/>
        </w:rPr>
      </w:r>
    </w:p>
    <w:p>
      <w:pPr>
        <w:ind w:firstLine="709"/>
        <w:jc w:val="both"/>
        <w:shd w:val="clear" w:color="auto" w:fill="ffffff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со статьей 72 Земельного кодекса Российской Федерации, Федеральным законом от 31.07.2020 № 248-ФЗ «О государственном контроле (надзоре) и муниципальном контроле в Российской Федерации», Уставом</w:t>
      </w:r>
      <w:r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Новосибирского района Новосибирской области Совет депутатов Новосибирского района Новосибирской области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ind w:firstLine="709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РЕШИЛ</w:t>
      </w:r>
      <w:r>
        <w:rPr>
          <w:b/>
          <w:sz w:val="28"/>
          <w:szCs w:val="28"/>
        </w:rPr>
        <w:t xml:space="preserve">: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shd w:val="clear" w:color="auto" w:fill="ffffff"/>
      </w:pPr>
      <w:r>
        <w:rPr>
          <w:color w:val="000000"/>
          <w:sz w:val="28"/>
          <w:szCs w:val="28"/>
        </w:rPr>
        <w:t xml:space="preserve">1. Утвердить прилагаемое Положение о муниципальном земельном контроле в границах Новосибирского района Новосибирской области.</w:t>
      </w:r>
      <w:r/>
    </w:p>
    <w:p>
      <w:pPr>
        <w:ind w:firstLine="709"/>
        <w:jc w:val="both"/>
        <w:shd w:val="clear" w:color="auto" w:fill="ffffff"/>
        <w:rPr>
          <w:sz w:val="28"/>
        </w:rPr>
      </w:pPr>
      <w:r>
        <w:rPr>
          <w:sz w:val="28"/>
        </w:rPr>
        <w:t xml:space="preserve">2</w:t>
      </w:r>
      <w:r>
        <w:rPr>
          <w:sz w:val="28"/>
        </w:rPr>
        <w:t xml:space="preserve">.Признать утратившими силу следующие решения Совета депутатов Новосибирского района Новосибирской области:</w:t>
      </w:r>
      <w:r>
        <w:rPr>
          <w:sz w:val="28"/>
        </w:rPr>
      </w:r>
      <w:r>
        <w:rPr>
          <w:sz w:val="28"/>
        </w:rPr>
      </w:r>
    </w:p>
    <w:p>
      <w:pPr>
        <w:pStyle w:val="964"/>
        <w:numPr>
          <w:ilvl w:val="0"/>
          <w:numId w:val="5"/>
        </w:numPr>
        <w:ind w:left="0" w:firstLine="709"/>
        <w:jc w:val="both"/>
        <w:spacing w:after="0" w:line="240" w:lineRule="auto"/>
        <w:shd w:val="clear" w:color="auto" w:fill="ffffff"/>
        <w:tabs>
          <w:tab w:val="left" w:pos="993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от 11.11.2021 № 9 «Об утверждении Положения о муниципальном земельном контроле в границах Новосибирского района Новосибирской области»;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64"/>
        <w:numPr>
          <w:ilvl w:val="0"/>
          <w:numId w:val="5"/>
        </w:numPr>
        <w:ind w:left="0" w:firstLine="709"/>
        <w:jc w:val="both"/>
        <w:spacing w:after="0" w:line="240" w:lineRule="auto"/>
        <w:shd w:val="clear" w:color="auto" w:fill="ffffff"/>
        <w:tabs>
          <w:tab w:val="left" w:pos="993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от 20.04.2023 № 8 «О внесении изменений в Положение о муниципальном земельном контроле в границах Новосибирского района Новосибирской области, утвержденное решением Совета депутатов Новосибирского района Новосибирской области от 11.11.2021 № 9»;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64"/>
        <w:numPr>
          <w:ilvl w:val="0"/>
          <w:numId w:val="5"/>
        </w:numPr>
        <w:ind w:left="0" w:firstLine="567"/>
        <w:jc w:val="both"/>
        <w:spacing w:after="0" w:line="240" w:lineRule="auto"/>
        <w:shd w:val="clear" w:color="auto" w:fill="ffffff"/>
        <w:tabs>
          <w:tab w:val="left" w:pos="993" w:leader="none"/>
        </w:tabs>
        <w:rPr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от 15.02.2024 № 4 «О внесении изменений в Положение о муниципальном земельном контроле в границах Новосиб</w:t>
      </w:r>
      <w:r>
        <w:rPr>
          <w:rFonts w:ascii="Times New Roman" w:hAnsi="Times New Roman" w:cs="Times New Roman"/>
          <w:sz w:val="28"/>
        </w:rPr>
        <w:t xml:space="preserve">и</w:t>
      </w:r>
      <w:r>
        <w:rPr>
          <w:rFonts w:ascii="Times New Roman" w:hAnsi="Times New Roman" w:cs="Times New Roman"/>
          <w:sz w:val="28"/>
        </w:rPr>
        <w:t xml:space="preserve">рского района Новосибирской области, утвержденное решением Совета депутатов Новосибирского района Новосибирской области от 11.11.2021 № 9 </w:t>
        <w:br/>
        <w:t xml:space="preserve">«Об утверждении Положения о муниципальном земельном контроле в границах Новосибирского района Новосибирской области».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pStyle w:val="964"/>
        <w:numPr>
          <w:ilvl w:val="0"/>
          <w:numId w:val="5"/>
        </w:numPr>
        <w:ind w:left="0" w:firstLine="567"/>
        <w:jc w:val="both"/>
        <w:spacing w:after="0" w:line="240" w:lineRule="auto"/>
        <w:shd w:val="clear" w:color="auto" w:fill="ffffff"/>
        <w:tabs>
          <w:tab w:val="left" w:pos="993" w:leader="none"/>
        </w:tabs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от 19.09.2024 № 8 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sz w:val="28"/>
          <w:szCs w:val="28"/>
        </w:rPr>
        <w:t xml:space="preserve">Приложение 1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«Индикаторы риска нарушения обязательных требований, используемые для определения необходимости проведения внеплановых проверок при осуществлении администрацией Новосибирского района Новосибирской области муниципального земельного контроля» к </w:t>
      </w:r>
      <w:r>
        <w:rPr>
          <w:rFonts w:ascii="Times New Roman" w:hAnsi="Times New Roman" w:cs="Times New Roman"/>
          <w:sz w:val="28"/>
          <w:szCs w:val="28"/>
        </w:rPr>
        <w:t xml:space="preserve">Положению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 муниципальном земельном контроле в границах Новосибирского района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Новосибирской области, утвержденному решением Совета депутатов Новосибирского района Новосибирской области от 11.11.2021 № 9</w:t>
      </w:r>
      <w:r>
        <w:rPr>
          <w:rFonts w:ascii="Times New Roman" w:hAnsi="Times New Roman" w:cs="Times New Roman"/>
          <w:sz w:val="28"/>
        </w:rPr>
        <w:t xml:space="preserve">»;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64"/>
        <w:numPr>
          <w:ilvl w:val="0"/>
          <w:numId w:val="5"/>
        </w:numPr>
        <w:ind w:left="0" w:firstLine="567"/>
        <w:jc w:val="both"/>
        <w:spacing w:after="0" w:line="240" w:lineRule="auto"/>
        <w:shd w:val="clear" w:color="auto" w:fill="ffffff"/>
        <w:tabs>
          <w:tab w:val="left" w:pos="993" w:leader="none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от 13.02.2025 № 2 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внесении изменения в Положение о муниципальном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земельном контроле в границах</w:t>
      </w:r>
      <w:r>
        <w:rPr>
          <w:rFonts w:ascii="Times New Roman" w:hAnsi="Times New Roman" w:eastAsia="Times New Roman" w:cs="Times New Roman"/>
          <w:bCs/>
          <w:color w:val="000000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Новоси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бирского района Новосибирской области, утвержденное решением Совета депутатов Новосибирского района Новосибирской области от 11.11.2021 № 9 «Об утверждении Положения о муниципальном земельном контроле в границах Новосибирского района Новосибирской области»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</w:r>
      <w:r>
        <w:rPr>
          <w:rFonts w:ascii="Times New Roman" w:hAnsi="Times New Roman" w:cs="Times New Roman"/>
          <w:bCs/>
          <w:color w:val="000000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3. </w:t>
      </w:r>
      <w:r>
        <w:rPr>
          <w:rFonts w:ascii="Times New Roman" w:hAnsi="Times New Roman"/>
          <w:sz w:val="28"/>
          <w:szCs w:val="28"/>
        </w:rPr>
        <w:t xml:space="preserve">Опубликовать настоящее решение в газете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Р</w:t>
      </w:r>
      <w:r>
        <w:rPr>
          <w:rFonts w:ascii="Times New Roman" w:hAnsi="Times New Roman"/>
          <w:sz w:val="28"/>
          <w:szCs w:val="28"/>
        </w:rPr>
        <w:t xml:space="preserve">ешение вступает в силу после </w:t>
      </w:r>
      <w:r>
        <w:rPr>
          <w:rFonts w:ascii="Times New Roman" w:hAnsi="Times New Roman"/>
          <w:sz w:val="28"/>
          <w:szCs w:val="28"/>
        </w:rPr>
        <w:t xml:space="preserve">его </w:t>
      </w:r>
      <w:r>
        <w:rPr>
          <w:rFonts w:ascii="Times New Roman" w:hAnsi="Times New Roman"/>
          <w:sz w:val="28"/>
          <w:szCs w:val="28"/>
        </w:rPr>
        <w:t xml:space="preserve">опубликовани</w:t>
      </w:r>
      <w:r>
        <w:rPr>
          <w:rFonts w:ascii="Times New Roman" w:hAnsi="Times New Roman"/>
          <w:sz w:val="28"/>
          <w:szCs w:val="28"/>
        </w:rPr>
        <w:t xml:space="preserve">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hd w:val="clear" w:color="auto" w:fill="ffffff"/>
        <w:rPr>
          <w:sz w:val="28"/>
          <w:szCs w:val="28"/>
          <w:highlight w:val="yellow"/>
        </w:rPr>
      </w:pPr>
      <w:r>
        <w:rPr>
          <w:color w:val="000000"/>
          <w:sz w:val="28"/>
          <w:szCs w:val="28"/>
        </w:rPr>
      </w: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jc w:val="both"/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Председатель Совета депутатов 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С.А.Зубков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</w:t>
      </w:r>
      <w:r>
        <w:rPr>
          <w:rFonts w:eastAsia="Calibri"/>
          <w:sz w:val="28"/>
          <w:szCs w:val="28"/>
          <w:highlight w:val="none"/>
          <w:lang w:eastAsia="en-US"/>
        </w:rPr>
      </w:r>
      <w:r>
        <w:rPr>
          <w:rFonts w:eastAsia="Calibri"/>
          <w:sz w:val="28"/>
          <w:szCs w:val="28"/>
          <w:highlight w:val="none"/>
          <w:lang w:eastAsia="en-US"/>
        </w:rPr>
      </w:r>
    </w:p>
    <w:p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highlight w:val="none"/>
          <w:lang w:eastAsia="en-US"/>
        </w:rPr>
      </w:r>
      <w:r>
        <w:rPr>
          <w:rFonts w:eastAsia="Calibri"/>
          <w:sz w:val="28"/>
          <w:szCs w:val="28"/>
          <w:highlight w:val="none"/>
          <w:lang w:eastAsia="en-US"/>
        </w:rPr>
      </w:r>
    </w:p>
    <w:p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Глава Новосибирского района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А.Г.Михайлов</w:t>
      </w:r>
      <w:r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tbl>
      <w:tblPr>
        <w:tblStyle w:val="967"/>
        <w:tblW w:w="0" w:type="auto"/>
        <w:tblInd w:w="567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685"/>
      </w:tblGrid>
      <w:tr>
        <w:tblPrEx/>
        <w:trPr/>
        <w:tc>
          <w:tcPr>
            <w:tcW w:w="10137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pacing w:val="-2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pacing w:val="-2"/>
                <w:sz w:val="28"/>
                <w:szCs w:val="28"/>
                <w:lang w:eastAsia="en-US"/>
              </w:rPr>
              <w:t xml:space="preserve">ПРИЛОЖЕНИЕ</w:t>
            </w:r>
            <w:r>
              <w:rPr>
                <w:rFonts w:eastAsia="Calibri"/>
                <w:color w:val="000000"/>
                <w:spacing w:val="-2"/>
                <w:sz w:val="28"/>
                <w:szCs w:val="28"/>
                <w:lang w:eastAsia="en-US"/>
              </w:rPr>
            </w:r>
            <w:r>
              <w:rPr>
                <w:rFonts w:eastAsia="Calibri"/>
                <w:color w:val="000000"/>
                <w:spacing w:val="-2"/>
                <w:sz w:val="28"/>
                <w:szCs w:val="28"/>
                <w:lang w:eastAsia="en-US"/>
              </w:rPr>
            </w:r>
          </w:p>
        </w:tc>
      </w:tr>
      <w:tr>
        <w:tblPrEx/>
        <w:trPr/>
        <w:tc>
          <w:tcPr>
            <w:tcW w:w="10137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pacing w:val="-2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pacing w:val="-2"/>
                <w:sz w:val="28"/>
                <w:szCs w:val="28"/>
                <w:lang w:eastAsia="en-US"/>
              </w:rPr>
              <w:t xml:space="preserve">к решению Совета депутатов    </w:t>
            </w:r>
            <w:r>
              <w:rPr>
                <w:color w:val="000000"/>
                <w:sz w:val="28"/>
                <w:szCs w:val="28"/>
              </w:rPr>
              <w:t xml:space="preserve">Новосибирского района Новосибирской области</w:t>
            </w:r>
            <w:r>
              <w:rPr>
                <w:rFonts w:eastAsia="Calibri"/>
                <w:color w:val="000000"/>
                <w:spacing w:val="-2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pacing w:val="-2"/>
                <w:sz w:val="28"/>
                <w:szCs w:val="28"/>
                <w:lang w:eastAsia="en-US"/>
              </w:rPr>
            </w:r>
            <w:r>
              <w:rPr>
                <w:rFonts w:eastAsia="Calibri"/>
                <w:color w:val="000000"/>
                <w:spacing w:val="-2"/>
                <w:sz w:val="28"/>
                <w:szCs w:val="28"/>
                <w:lang w:eastAsia="en-US"/>
              </w:rPr>
            </w:r>
          </w:p>
        </w:tc>
      </w:tr>
      <w:tr>
        <w:tblPrEx/>
        <w:trPr/>
        <w:tc>
          <w:tcPr>
            <w:tcW w:w="10137" w:type="dxa"/>
            <w:textDirection w:val="lrTb"/>
            <w:noWrap w:val="false"/>
          </w:tcPr>
          <w:p>
            <w:pPr>
              <w:shd w:val="clear" w:color="auto" w:fill="ffffff"/>
              <w:rPr>
                <w:rFonts w:eastAsia="Calibri"/>
                <w:color w:val="000000"/>
                <w:spacing w:val="-2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pacing w:val="-2"/>
                <w:sz w:val="28"/>
                <w:szCs w:val="28"/>
                <w:lang w:eastAsia="en-US"/>
              </w:rPr>
              <w:t xml:space="preserve">от «17» апреля 2025 г.  №  1</w:t>
            </w:r>
            <w:r>
              <w:rPr>
                <w:rFonts w:eastAsia="Calibri"/>
                <w:color w:val="000000"/>
                <w:spacing w:val="-2"/>
                <w:sz w:val="28"/>
                <w:szCs w:val="28"/>
                <w:lang w:eastAsia="en-US"/>
              </w:rPr>
            </w:r>
            <w:r>
              <w:rPr>
                <w:rFonts w:eastAsia="Calibri"/>
                <w:color w:val="000000"/>
                <w:spacing w:val="-2"/>
                <w:sz w:val="28"/>
                <w:szCs w:val="28"/>
                <w:lang w:eastAsia="en-US"/>
              </w:rPr>
            </w:r>
          </w:p>
        </w:tc>
      </w:tr>
      <w:tr>
        <w:tblPrEx/>
        <w:trPr/>
        <w:tc>
          <w:tcPr>
            <w:tcW w:w="1013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</w:tr>
    </w:tbl>
    <w:p>
      <w:pPr>
        <w:ind w:firstLine="709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Положение о муниципальном земельном контроле в границах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Новосибирского района Новосибирской области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 Общие положения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 Настоящее Положение устанавливает порядок осуществления муниципального земельного контроля в границах Новосибирского района Новосибирской области (далее – муниципальный земельный контроль).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 Предметом муниципального земельного контроля является соблюдение юридическими лицами, </w:t>
      </w:r>
      <w:r>
        <w:rPr>
          <w:color w:val="000000"/>
          <w:sz w:val="28"/>
          <w:szCs w:val="28"/>
        </w:rPr>
        <w:t xml:space="preserve">индивидуальными предпринимателями, гражданами (далее –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Объектами земельных отношений являются земли, земельные участки или части земельных участков в границах Новосибирского района Новосибирской области.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1.2.1 Объектами муниципального земельного контроля являются объекты земельных отноше</w:t>
      </w:r>
      <w:r>
        <w:rPr>
          <w:color w:val="000000"/>
          <w:sz w:val="28"/>
          <w:szCs w:val="28"/>
        </w:rPr>
        <w:t xml:space="preserve">ний (земли, земельные участки или части земельных участков), расположенные в границах сельских поселений, входящих в состав Новосибирского района Новосибирской области, к которым предъявляются обязательные требования, а также действия (бездействие) граждан</w:t>
      </w:r>
      <w:r>
        <w:rPr>
          <w:color w:val="000000"/>
          <w:sz w:val="28"/>
          <w:szCs w:val="28"/>
        </w:rPr>
        <w:t xml:space="preserve">,</w:t>
      </w:r>
      <w:r>
        <w:rPr>
          <w:color w:val="000000"/>
          <w:sz w:val="28"/>
          <w:szCs w:val="28"/>
        </w:rPr>
        <w:t xml:space="preserve"> организаций, в рамках которых должны соблюдаться обязательные требования, в том числе предъявляемые к юридическим лицам, индивидуальным предпринимателям и гражданам осуществляющим деятельность, действия (бездействие).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 Муниципальный земельный контроль осуществляется администрацией Новосибирского района Новосибирской области (далее – администрация).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1.4. Уполномоченными осуществлять муниципальный земельный контроль, являются должностные лица администрации (далее также – должностные лица, уполномоченные осуществлять муниципальный земельный контроль)</w:t>
      </w:r>
      <w:r>
        <w:rPr>
          <w:i/>
          <w:iCs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земельному контролю.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Должностные лица, уполномоченные осуществлять муниципальный земельный контроль, при осуществлении муниципального земельного контроля, имеют права, обязанности и несут ответственность в соответствии с </w:t>
      </w:r>
      <w:r>
        <w:rPr>
          <w:color w:val="000000"/>
          <w:sz w:val="28"/>
          <w:szCs w:val="28"/>
        </w:rPr>
        <w:t xml:space="preserve">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1.5. К отношениям, связанным с осуществлением муниципального земельного контроля, организацией и проведением профилактических </w:t>
      </w:r>
      <w:r>
        <w:rPr>
          <w:sz w:val="28"/>
          <w:szCs w:val="28"/>
        </w:rPr>
        <w:t xml:space="preserve">мероприятий, контрольных мероприятий применяются положения Федерального закона от 31.07.2020 № 248</w:t>
      </w:r>
      <w:r>
        <w:rPr>
          <w:sz w:val="28"/>
          <w:szCs w:val="28"/>
        </w:rPr>
        <w:t xml:space="preserve">-ФЗ «О государственном контроле (надзоре) и муниципальном контроле в Российской Федерации», Земельного кодекса Российской Федерации, Федерального закона от 06.10.2003 № 131-ФЗ «Об общих принципах организации местного самоуправления в Российской Федерации».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 Администрация осуществляет муниципальный земельный контроль за соблюдением: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обязат</w:t>
      </w:r>
      <w:r>
        <w:rPr>
          <w:sz w:val="28"/>
          <w:szCs w:val="28"/>
        </w:rPr>
        <w:t xml:space="preserve">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 прав на них;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огородничества, в указанных целях в течение установленного срока;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 обязательных требований, связанных с обязанностью по приведению земель в состояние, пригодное для использования по целевому назначению;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 обязательных требований о запрете самовольного снятия, перемещения и уничтожения плодородного слоя почвы, порчи земель в результате нарушения правил обращения с пестицидами, </w:t>
      </w:r>
      <w:r>
        <w:rPr>
          <w:sz w:val="28"/>
          <w:szCs w:val="28"/>
        </w:rPr>
        <w:t xml:space="preserve">агрохимикатами</w:t>
      </w:r>
      <w:r>
        <w:rPr>
          <w:sz w:val="28"/>
          <w:szCs w:val="28"/>
        </w:rPr>
        <w:t xml:space="preserve"> или иными опасными для здоровья людей и окружающей среды веществами и отходами производства и потребления;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 обязательных требований по улучшению земель и охране почв от ветровой, водной эрозии и предотвращению других процессов, ухудшающих качественное состояние земель, защите земель от зарастания деревьями и кустарниками, сорными растениями;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 обязательных требований по использованию земельных участков из земель сельскохозяйственного назначения,</w:t>
      </w:r>
      <w:r>
        <w:rPr>
          <w:sz w:val="28"/>
          <w:szCs w:val="28"/>
        </w:rPr>
        <w:t xml:space="preserve"> оборот которых регулируется Федеральным законом от 24.07.2002 № 101-ФЗ «Об обороте земель сельскохозяйственного назначения», для ведения сельскохозяйственного производства или осуществления иной связанной с сельскохозяйственным производством деятельности;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 обязательных требований по рекультивации земель при осуществлении строительных, мелиоративных, изыскательских и иных работ, в том числе работ, осуществляемых для внутрихозяйственных или собственных надобностей.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Полномочия, указанные в настоящем пункте, осуществляются администрацией в отношении всех категорий земель, кроме земель водного и лесного фонда.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 Администрацией в рамках осуществления муниципального земельного контроля обеспечивается учет объектов муниципального земельного контроля.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1.8. Руководствуясь пунктом 2 статьи 61 Федерального закона от </w:t>
      </w:r>
      <w:r>
        <w:rPr>
          <w:color w:val="000000"/>
          <w:sz w:val="28"/>
          <w:szCs w:val="28"/>
        </w:rPr>
        <w:t xml:space="preserve">31.07.2020 № 248-ФЗ «О государственном контроле (надзоре) и муниципальном контроле в Российской Федерации»</w:t>
      </w:r>
      <w:r>
        <w:rPr>
          <w:bCs/>
          <w:sz w:val="28"/>
          <w:szCs w:val="28"/>
        </w:rPr>
        <w:t xml:space="preserve">, муниципальный земельный контроль на территории </w:t>
      </w:r>
      <w:r>
        <w:rPr>
          <w:bCs/>
          <w:color w:val="000000"/>
          <w:sz w:val="28"/>
          <w:szCs w:val="28"/>
        </w:rPr>
        <w:t xml:space="preserve">Новосибирского района Новосибирской области,</w:t>
      </w:r>
      <w:r>
        <w:rPr>
          <w:bCs/>
          <w:sz w:val="28"/>
          <w:szCs w:val="28"/>
        </w:rPr>
        <w:t xml:space="preserve"> осуществляется без проведения плановых контрольных мероприятий.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1.9. В соответствии с частью </w:t>
      </w:r>
      <w:r>
        <w:rPr>
          <w:bCs/>
          <w:sz w:val="28"/>
          <w:szCs w:val="28"/>
        </w:rPr>
        <w:t xml:space="preserve">2</w:t>
      </w:r>
      <w:r>
        <w:rPr>
          <w:bCs/>
          <w:sz w:val="28"/>
          <w:szCs w:val="28"/>
        </w:rPr>
        <w:t xml:space="preserve"> статьи 66 Федерального закона от </w:t>
      </w:r>
      <w:r>
        <w:rPr>
          <w:color w:val="000000"/>
          <w:sz w:val="28"/>
          <w:szCs w:val="28"/>
        </w:rPr>
        <w:t xml:space="preserve">31.07.2020 № 248-ФЗ «О государственном контроле (надзоре) и муниципальном контроле в Российской Федерации»</w:t>
      </w:r>
      <w:r>
        <w:rPr>
          <w:bCs/>
          <w:sz w:val="28"/>
          <w:szCs w:val="28"/>
        </w:rPr>
        <w:t xml:space="preserve"> все внеплановые контрольные мероприятия могут проводиться только после согласования с органами прокуратуры.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 Управление рисками причинения вреда (ущерба)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охраняемым законом ценностям при осуществлении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муниципального земельного контроля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 Администрация осуществляет муниципальный земельный контроль на основе управления рисками причинения вреда (ущерба).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 Для целей управления рисками причинения вреда (ущерба) охраняемым законом ценностям </w:t>
      </w:r>
      <w:r>
        <w:rPr>
          <w:sz w:val="28"/>
          <w:szCs w:val="28"/>
        </w:rPr>
        <w:t xml:space="preserve">при осуществлении муниципального земельного контроля земельные участки подлежат отнесению к категориям риска в соответствии с Федеральным законом от 31.07.2020 № 248-ФЗ «О государственном контроле (надзоре) и муниципальном контроле в Российской Федерации»: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средний риск;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умеренный риск;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низкий риск.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 Отнесение администрацией земель и земельных участков к определенной категории риска осуществляется в соответствии с критериями отнесения исп</w:t>
      </w:r>
      <w:r>
        <w:rPr>
          <w:sz w:val="28"/>
          <w:szCs w:val="28"/>
        </w:rPr>
        <w:t xml:space="preserve">ользуемых гражданами, юридическими лицами и (или) индивидуальными предпринимателями земель и земельных участков к определенной категории риска при осуществлении администрацией муниципального земельного контроля согласно Приложению 1 к настоящему Положению.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Реш</w:t>
      </w:r>
      <w:r>
        <w:rPr>
          <w:bCs/>
          <w:color w:val="000000"/>
          <w:sz w:val="28"/>
          <w:szCs w:val="28"/>
        </w:rPr>
        <w:t xml:space="preserve">ение об отнесении объектов контроля к категориям риска причинения вреда (ущерба) охраняемым законом ценностям в рамках осуществления вида контроля принимается путем подписания данных об объекте контроля с указанием сведений о контролируемом лице, описания </w:t>
      </w:r>
      <w:r>
        <w:rPr>
          <w:bCs/>
          <w:color w:val="000000"/>
          <w:sz w:val="28"/>
          <w:szCs w:val="28"/>
        </w:rPr>
        <w:t xml:space="preserve">объекта контроля и присвоенной категории риска в перечне объектов контроля. 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Перечень объектов контроля ведется в Едином реестре видов федерального государственного контроля (надзора), регионального государственного контроля (надзора), муниципального контроля.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Перечень объектов контроля размещается на официальном сайте контрольного (надзорного) органа посредством публи</w:t>
      </w:r>
      <w:r>
        <w:rPr>
          <w:bCs/>
          <w:sz w:val="28"/>
          <w:szCs w:val="28"/>
        </w:rPr>
        <w:t xml:space="preserve">кации части официального сайта Единого реестра видов федерального государственного контроля (надзора), регионального государственного контроля (надзора), муниципального контроля в сети «Интернет» для отображения соответствующего перечня объектов контроля (</w:t>
      </w:r>
      <w:r>
        <w:rPr>
          <w:bCs/>
          <w:sz w:val="28"/>
          <w:szCs w:val="28"/>
        </w:rPr>
        <w:t xml:space="preserve">виджет</w:t>
      </w:r>
      <w:r>
        <w:rPr>
          <w:bCs/>
          <w:sz w:val="28"/>
          <w:szCs w:val="28"/>
        </w:rPr>
        <w:t xml:space="preserve">) на официальном сайте контрольного (надзорного) органа в сети «Интернет».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отнесении администрацией земель и земельных участков к категориям риска используются в том числе: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сведения, содержащиеся в Едином государственном реестре недвижимости;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сведения, получаемые при проведении должностными лицами, уполномоченными осуществлять муниципальный земельный контроль, контрольных мероприятий без взаимодействия с контролируемыми лицами;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иные сведения, содержащиеся в администрации.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 Отнесение объекта контроля к одной из категорий риска осуществляется ежегодно на основе сопоставления его характеристик с утвержденными критериями риска, при этом индикатором риска нарушения обязательных требований является соответствие </w:t>
      </w:r>
      <w:r>
        <w:rPr>
          <w:rFonts w:ascii="Times New Roman" w:hAnsi="Times New Roman" w:cs="Times New Roman"/>
          <w:sz w:val="28"/>
          <w:szCs w:val="28"/>
        </w:rPr>
        <w:t xml:space="preserve">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2.5. </w:t>
      </w:r>
      <w:hyperlink w:tooltip="#P437" w:anchor="P437" w:history="1">
        <w:r>
          <w:rPr>
            <w:rFonts w:ascii="Times New Roman" w:hAnsi="Times New Roman" w:cs="Times New Roman"/>
            <w:sz w:val="28"/>
            <w:szCs w:val="28"/>
          </w:rPr>
          <w:t xml:space="preserve">Перечень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индикаторов риска нарушения обязательных требований, проверяемых в рамках осуществления муниципального контроля, установлен Приложением 2 к настоящему Положению.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 В случае если объект контроля не отнесен к определенной категории риска, он считается отнесенным к категории низкого риска.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 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 По запросу правообладателя земельного участка должностные лица, уполномоченные осуществлять муниципальны</w:t>
      </w:r>
      <w:r>
        <w:rPr>
          <w:sz w:val="28"/>
          <w:szCs w:val="28"/>
        </w:rPr>
        <w:t xml:space="preserve">й земельный контроль, в срок не превышающий 15 дней со дня поступления запроса, предоставляет ему информацию о присвоенной земельному участку категории риска, а также сведения, использованные при отнесении земельного участка к определенной категории риска.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6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2.9. Плановые контрольные мероприятия в рамках муниципального земельного контроля не проводятся. Проведение администрацией </w:t>
      </w:r>
      <w:r>
        <w:rPr>
          <w:bCs/>
          <w:sz w:val="28"/>
          <w:szCs w:val="28"/>
        </w:rPr>
        <w:t xml:space="preserve">обязательных профилактических визитов в отношении земельных участков в зависимости от присвоенной категории риска осуществляется в соответствии с периодичностью, определенной Правительством Российской Федерацией.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отношении земельных участков, отнесенных к категории низкого риска, плановы</w:t>
      </w:r>
      <w:r>
        <w:rPr>
          <w:bCs/>
          <w:color w:val="000000"/>
          <w:sz w:val="28"/>
          <w:szCs w:val="28"/>
        </w:rPr>
        <w:t xml:space="preserve">е контрольные мероприятия, обязательные профилактические визиты в соответствии с пунктом 1 части 1 статьи 52.1 Федерального закона от 31.07.2020 № 248-ФЗ «О государственном контроле (надзоре) и муниципальном контроле в Российской Федерации», не проводятся.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 При определении критериев риска оценка добросовестности контролируемых лиц проводится с учетом части 7 стати 23 Федерального закона от 31.07.2020 № 248-ФЗ «О государственном контроле (надзоре) и муниципальном контроле в 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</w:t>
      </w:r>
      <w:r>
        <w:rPr>
          <w:b/>
          <w:bCs/>
          <w:sz w:val="28"/>
          <w:szCs w:val="28"/>
        </w:rPr>
        <w:t xml:space="preserve">. Профилактика рисков причинения вреда (ущерба) охраняемым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законом ценностям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.1. Администрация осуществляет муниципальный земельный контроль в том числе посредством проведения профилактических мероприятий.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.2. Профилактические мероприятия осуществляются администрацией в целях стимулирования добросовестного соблюдения обязательных требований контролир</w:t>
      </w:r>
      <w:r>
        <w:rPr>
          <w:sz w:val="28"/>
          <w:szCs w:val="28"/>
        </w:rPr>
        <w:t xml:space="preserve">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.3. При осуществлении муниципального земельного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.4. Профилактические мероприятия осуществляются на основании программы профилактики рис</w:t>
      </w:r>
      <w:r>
        <w:rPr>
          <w:sz w:val="28"/>
          <w:szCs w:val="28"/>
        </w:rPr>
        <w:t xml:space="preserve">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</w:t>
      </w:r>
      <w:r>
        <w:rPr>
          <w:sz w:val="28"/>
          <w:szCs w:val="28"/>
        </w:rPr>
        <w:t xml:space="preserve">ед (ущерб) причинен, должностное лицо, уполномоченное осуществлять муниципальный земельный контроль, незамедлительно направляет информацию об этом Главе Новосибирского района Новосибирской области для принятия решения о проведении контрольных мероприятий, </w:t>
      </w:r>
      <w:r>
        <w:rPr>
          <w:bCs/>
          <w:sz w:val="28"/>
          <w:szCs w:val="28"/>
        </w:rPr>
        <w:t xml:space="preserve">либо принимает меры, предусмотренные Федеральным законом от 31.07.2020 № 248-ФЗ «О государственном контроле (надзоре) и муниципальном контроле в Российской Федерации».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.5. При осуществлении администрацией муниципального земельного контроля могут проводиться следующие виды профилактических мероприятий: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информирование;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обобщение правоприменительной практики;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объявление предостережений;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 консультирование;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5) профилактический визит.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.6. Информирование осуществляется администрацией по вопросам соблюдения обязательных требований посредством размещения соответствующи</w:t>
      </w:r>
      <w:r>
        <w:rPr>
          <w:sz w:val="28"/>
          <w:szCs w:val="28"/>
        </w:rPr>
        <w:t xml:space="preserve">х сведений на официальном сайте администрации в специальном разделе, посвященном контрольной деятельности,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обязана размещать и поддерживать в актуальном состоянии на официальном </w:t>
      </w:r>
      <w:r>
        <w:rPr>
          <w:sz w:val="28"/>
          <w:szCs w:val="28"/>
        </w:rPr>
        <w:t xml:space="preserve">сайте администрации в специальном разделе, посвященном контрольной деятельности, сведения, предусмотренные частью 3 статьи 46 Федерального закона от 31.07.2020 № 248-ФЗ «О государственном контроле (надзоре) и муниципальном контроле в Российской Федерации».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также вправе информировать население Новосибирского района Новосибирской области на собраниях и конференциях граждан об обязательн</w:t>
      </w:r>
      <w:r>
        <w:rPr>
          <w:sz w:val="28"/>
          <w:szCs w:val="28"/>
        </w:rPr>
        <w:t xml:space="preserve">ых требованиях, предъявляемых к объектам контроля, их соответствии критериям риска, а также о видах, содержании и об интенсивности контрольных мероприятий, проводимых в отношении земельных участков, исходя из их отнесения к соответствующей категории риска.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.7. 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обобщения правоприменительной практики должностными лицами, уполномоченными осуществлять муниципальный земельный контроль, ежегодно готовится доклад, содержащий результаты обобщения правоприменительной практики по осуществлению муниципал</w:t>
      </w:r>
      <w:r>
        <w:rPr>
          <w:sz w:val="28"/>
          <w:szCs w:val="28"/>
        </w:rPr>
        <w:t xml:space="preserve">ьного земельного контроля и утверждаемый распоряжением администрации. Указанный доклад размещается в срок не позднее 1 марта года, следующего за отчетным годом, на официальном сайте администрации в специальном разделе, посвященном контрольной деятельности.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.8. Предостережение о недопустимости нарушения обязательных требований и предложение принять меры по обеспечению соблюдения обязательных требований</w:t>
      </w:r>
      <w:r>
        <w:rPr>
          <w:sz w:val="28"/>
          <w:szCs w:val="28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(или) в случае отсутствия подтверждения данных о том, что нарушение обязательных </w:t>
      </w:r>
      <w:r>
        <w:rPr>
          <w:sz w:val="28"/>
          <w:szCs w:val="28"/>
        </w:rPr>
        <w:t xml:space="preserve">требований причинило вред (ущерб) охраняемым законом ценностям либо создало угрозу причинения вреда (ущерба) охраняемым законом ценностям.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bCs/>
          <w:sz w:val="28"/>
          <w:szCs w:val="28"/>
        </w:rPr>
        <w:t xml:space="preserve">редостережение не може</w:t>
      </w:r>
      <w:r>
        <w:rPr>
          <w:bCs/>
          <w:sz w:val="28"/>
          <w:szCs w:val="28"/>
        </w:rPr>
        <w:t xml:space="preserve">т содержать требование представления контролируемым лицом сведений и документов, сроки для устранения последствий, возникших в результате действий (бездействия) контролируемого лица, которые могут привести или приводят к нарушению обязательных требований. 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Предостережения объявляются (подписываются) Главой Новосибирского района Новосибирской области </w:t>
      </w:r>
      <w:r>
        <w:rPr>
          <w:bCs/>
          <w:sz w:val="28"/>
          <w:szCs w:val="28"/>
        </w:rPr>
        <w:t xml:space="preserve">или иным должностным лицом, уполномоченным осуществлять муниципальный земельный контроль, 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 не позднее 30 дней со дня получения указанных сведений.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объявления администрацией п</w:t>
      </w:r>
      <w:r>
        <w:rPr>
          <w:color w:val="000000"/>
          <w:sz w:val="28"/>
          <w:szCs w:val="28"/>
        </w:rPr>
        <w:t xml:space="preserve">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 результате </w:t>
      </w:r>
      <w:r>
        <w:rPr>
          <w:color w:val="000000"/>
          <w:sz w:val="28"/>
          <w:szCs w:val="28"/>
        </w:rPr>
        <w:t xml:space="preserve">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</w:t>
      </w:r>
      <w:r>
        <w:rPr>
          <w:color w:val="000000"/>
          <w:sz w:val="28"/>
          <w:szCs w:val="28"/>
        </w:rPr>
        <w:t xml:space="preserve">.9. Консультирование контролируемых лиц осуществляетс</w:t>
      </w:r>
      <w:r>
        <w:rPr>
          <w:color w:val="000000"/>
          <w:sz w:val="28"/>
          <w:szCs w:val="28"/>
        </w:rPr>
        <w:t xml:space="preserve">я должностным лицом, уполномоченным осуществлять муниципальный земельный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Личный прием граждан проводится Главой Новосибирского района Новосибирской области, первым заместителем главы администрации, заместителем главы администрации и (или) должност</w:t>
      </w:r>
      <w:r>
        <w:rPr>
          <w:sz w:val="28"/>
          <w:szCs w:val="28"/>
        </w:rPr>
        <w:t xml:space="preserve">ным лицом, уполномоченным осуществлять муниципальный земельный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Консультирование осуществляется в устной или письменной форме по следующим вопросам: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 организация и осуществление муниципального земельного контроля;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порядок осуществления контрольных мероприятий, установленных настоящим Положением;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порядок обжалования действий (бездействия) должностных лиц, уполномоченных осуществлять муниципальный земельный контроль;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 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.10. Консультирование в письменной форме осуществляется должностным лицом, уполномоченным осуществлять муниципальный земельный контроль, в следующих случаях: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контролируемым лицом представлен письменный запрос о представлении письменного ответа по вопросам консультирования;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за время консультирования предоставить в устной форме ответ на поставленные вопросы невозможно;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ответ на поставленные вопросы требует дополнительного запроса сведений.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осуществлении консультирования должностное лицо, уполномоченное осуществлять муниципальный земельный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консультирования не может предоставляться информация, содержащая оценку конкретного кон</w:t>
      </w:r>
      <w:r>
        <w:rPr>
          <w:sz w:val="28"/>
          <w:szCs w:val="28"/>
        </w:rPr>
        <w:t xml:space="preserve">трольного мероприятия, решений и (или) действий должностных лиц, уполномоченных осуществлять муниципальный земельный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</w:t>
      </w:r>
      <w:r>
        <w:rPr>
          <w:sz w:val="28"/>
          <w:szCs w:val="28"/>
        </w:rPr>
        <w:t xml:space="preserve">ормация, ставшая известной должностному лицу, уполномоченному осуществлять муниципальный земельный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Должностными лицами, уполномоченными осуществлять муниципальный земельный контроль, ведется журнал учета консультирований.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</w:t>
      </w:r>
      <w:r>
        <w:rPr>
          <w:sz w:val="28"/>
          <w:szCs w:val="28"/>
        </w:rPr>
        <w:t xml:space="preserve">м сайте администрации в специальном разделе, посвященном контрольной деятельности, письменного разъяснения, подписанного Главой Новосибирского района Новосибирской области или должностным лицом, уполномоченным осуществлять муниципальный земельный контроль.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</w:t>
      </w:r>
      <w:r>
        <w:rPr>
          <w:bCs/>
          <w:sz w:val="28"/>
          <w:szCs w:val="28"/>
        </w:rPr>
        <w:t xml:space="preserve">.11. Профилактический визит проводится </w:t>
      </w:r>
      <w:r>
        <w:rPr>
          <w:bCs/>
          <w:sz w:val="28"/>
          <w:szCs w:val="28"/>
        </w:rPr>
        <w:t xml:space="preserve">в форме профилактической беседы должностным лицом, уполномоченным осуществлять муниципальный земельный контроль, по месту осуществления деятельности контролируемого лица либо путем использования видео-конференц-связи или мобильного приложения «Инспектор».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</w:t>
      </w:r>
      <w:r>
        <w:rPr>
          <w:bCs/>
          <w:sz w:val="28"/>
          <w:szCs w:val="28"/>
        </w:rPr>
        <w:t xml:space="preserve">ти либо к принадлежащим ему объектам контроля, а должностное лицо, уполномоченное осуществлять муниципальный земельный контроль, осуществляет ознакомление с объектом контроля и проводит оценку уровня соблюдения контролируемым лицом обязательных требований.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Профилактический визит проводится по инициативе администрации или по инициативе контролируемого лица.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Профилактические визиты по инициативе контролируемого лица проводятся в соответствии со статьей 52.2 Федерального закона от 31.07.2020 № 248-ФЗ «О государственном контроле (надзоре) и муниципальном контроле в Российской Федерации».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Обязательный профилактический визит проводится в случаях, предусмотренных частью 1 статьи 52.1 Федерального закона от 31.07.2020             № 248-ФЗ «О государственном контроле (надзоре) и муниципальном контроле в Российской Федерации».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 Осуществление контрольных мероприятий и контрольных действий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 При осуществлении муниципального земельного контроля при взаимодействии с контролируемыми лицами администрацией могут проводиться следующие виды контрольных мероприятий и контрольных действий в рамках указанных мероприятий: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инспекционный визит (посредством осмотра, опроса, истребования документов, которые в соответствии</w:t>
      </w:r>
      <w:r>
        <w:rPr>
          <w:sz w:val="28"/>
          <w:szCs w:val="28"/>
        </w:rPr>
        <w:t xml:space="preserve">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документарная проверка (посредством получения письменных объяснений, истребования документов, экспертизы);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 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Инспекционный визит, выездная проверка, рейдовый осмотр могут проводиться с использованием средств дистанционного взаимодействия, в том числе посредством аудио- или видеосвязи.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 Наблюдение за соблюдением обязательных требований и выездное обследование проводятся администрацией без взаимодействия с контролируемыми лицами: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наблюдение за соблюдением обязательных требований (посредством сбора и анализа данных о землях, земельных участках и их частях, в том числе данных, которые поступают в ходе межведомственного информационного взаимодейств</w:t>
      </w:r>
      <w:r>
        <w:rPr>
          <w:sz w:val="28"/>
          <w:szCs w:val="28"/>
        </w:rPr>
        <w:t xml:space="preserve">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</w:t>
      </w:r>
      <w:r>
        <w:rPr>
          <w:sz w:val="28"/>
          <w:szCs w:val="28"/>
        </w:rPr>
        <w:t xml:space="preserve">с использованием работающих в автоматическом режиме технических средств фиксации правонарушений, имеющих функции фото- и киносъемки, видеозаписи);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выездное обследование (посредством осмотра, инструментального обследования (с применением видеозаписи), испытания, экспертизы).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Предусмотренные настоящи</w:t>
      </w:r>
      <w:r>
        <w:rPr>
          <w:sz w:val="28"/>
          <w:szCs w:val="28"/>
        </w:rPr>
        <w:t xml:space="preserve">м пунктом виды контрольных мероприятий и контрольных действий в рамках указанных мероприятий не дифференцируются в зависимости от отнесения конкретного объекта контроля к определенной категории риска в соответствии с Приложением № 3 к настоящему Положению.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4.3. </w:t>
      </w:r>
      <w:r>
        <w:rPr>
          <w:bCs/>
          <w:sz w:val="28"/>
          <w:szCs w:val="28"/>
        </w:rPr>
        <w:t xml:space="preserve">Контрольные мероприятия проводятся в соответствии с основаниями, предусмотренными статьей 57 Федерального закона от 31.07.2020 № 248-ФЗ «О государственном контроле (надзоре) и муниципальном контроле в Российской Федерации».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4.4. Индикаторы</w:t>
      </w:r>
      <w:r>
        <w:rPr>
          <w:color w:val="000000"/>
          <w:sz w:val="28"/>
          <w:szCs w:val="28"/>
        </w:rPr>
        <w:t xml:space="preserve"> риска нарушения обязательных требований указаны в Приложении 2 к настоящему Положению. Перечень индикаторов риска нарушения обязательных требований размещается на официальном сайте администрации в специальном разделе, посвященном контрольной деятельности.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4.5. Контрольные мероприятия, проводимые при взаимодействии с контролируемым лицом, проводятся на основании решения администрации о проведении контрольного мероприятия.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4.6. В случае принятия решения администрации о проведении контрольного мероприятия при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установлении параметров деятельности контролируемого лица, соответствие которым или отклонение от которых согласно утвержденным индикаторам риска нарушения обязательных требо</w:t>
      </w:r>
      <w:r>
        <w:rPr>
          <w:color w:val="000000"/>
          <w:sz w:val="28"/>
          <w:szCs w:val="28"/>
        </w:rPr>
        <w:t xml:space="preserve">ваний является основанием для проведения контрольного мероприятия, такое решение принимается на основании мотивированного представления должностного лица, уполномоченного осуществлять муниципальный земельный контроль, о проведении контрольного мероприятия.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4.7. Контрольные мероприятия, проводимые без взаимодействия с контролируемыми лицами, проводятся </w:t>
      </w:r>
      <w:r>
        <w:rPr>
          <w:color w:val="000000"/>
          <w:sz w:val="28"/>
          <w:szCs w:val="28"/>
        </w:rPr>
        <w:t xml:space="preserve">должностными лицами</w:t>
      </w:r>
      <w:r>
        <w:rPr>
          <w:color w:val="000000"/>
          <w:sz w:val="28"/>
          <w:szCs w:val="28"/>
        </w:rPr>
        <w:t xml:space="preserve"> уполномоченными осуществлять муниципальный земельный контроль, на основании задания Главы Новосибирского района Новосибирской области.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 Контрольные мероприятия в отношении граждан, юридических лиц и индивидуальных пре</w:t>
      </w:r>
      <w:r>
        <w:rPr>
          <w:sz w:val="28"/>
          <w:szCs w:val="28"/>
        </w:rPr>
        <w:t xml:space="preserve">дпринимателей проводятся должностными лицами, уполномоченными осуществлять муниципальный земельный контроль, в соответствии с Федеральным законом от 31.07.2020 № 248-ФЗ «О государственном контроле (надзоре) и муниципальном контроле в Российской Федерации».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4.9. Администрация при организации и осуществлении муниципального земельного контроля</w:t>
      </w:r>
      <w:r>
        <w:rPr>
          <w:sz w:val="28"/>
          <w:szCs w:val="28"/>
        </w:rPr>
        <w:t xml:space="preserve">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</w:t>
      </w:r>
      <w:r>
        <w:rPr>
          <w:sz w:val="28"/>
          <w:szCs w:val="28"/>
        </w:rPr>
        <w:t xml:space="preserve">том числе в электронн</w:t>
      </w:r>
      <w:r>
        <w:rPr>
          <w:sz w:val="28"/>
          <w:szCs w:val="28"/>
        </w:rPr>
        <w:t xml:space="preserve">ой форме. Перечень указанных документов и (или) сведений, порядок и сроки их представления установлены утвержденным распоряжением Правительства Российской Федерации от 19.04.2016 № 724-р перечнем документов и (или) информации, запрашиваемых и получаемых в </w:t>
      </w:r>
      <w:r>
        <w:rPr>
          <w:sz w:val="28"/>
          <w:szCs w:val="28"/>
        </w:rPr>
        <w:t xml:space="preserve">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</w:t>
      </w:r>
      <w:r>
        <w:rPr>
          <w:sz w:val="28"/>
          <w:szCs w:val="28"/>
        </w:rPr>
        <w:t xml:space="preserve">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 Правилами предоставления в рамках межведомственного информационного взаимодействия документов и (или) св</w:t>
      </w:r>
      <w:r>
        <w:rPr>
          <w:sz w:val="28"/>
          <w:szCs w:val="28"/>
        </w:rPr>
        <w:t xml:space="preserve">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</w:t>
      </w:r>
      <w:r>
        <w:rPr>
          <w:sz w:val="28"/>
          <w:szCs w:val="28"/>
        </w:rPr>
        <w:t xml:space="preserve">зора), видов муниципального контроля, утвержденными постановлением Правительства Российской Федерации от 06.03.2021 №338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 К случаю, при наступлении ко</w:t>
      </w:r>
      <w:r>
        <w:rPr>
          <w:sz w:val="28"/>
          <w:szCs w:val="28"/>
        </w:rPr>
        <w:t xml:space="preserve">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 проведение контрольного мероприятия перено</w:t>
      </w:r>
      <w:r>
        <w:rPr>
          <w:sz w:val="28"/>
          <w:szCs w:val="28"/>
        </w:rPr>
        <w:t xml:space="preserve">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отсутствие контролируемого лица либо его представителя не препятствует оценке должностным</w:t>
      </w:r>
      <w:r>
        <w:rPr>
          <w:sz w:val="28"/>
          <w:szCs w:val="28"/>
        </w:rPr>
        <w:t xml:space="preserve"> лицом, уполномоченным осуществлять муниципальный земельный контроль, 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отсутствие признаков явной непосредственной угрозы причинения или фактического причинения вреда (ущерба) охраняемым законом ценностям;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имеются уважительные причины для отсутствия контролируемого лица (болезнь контролируемого лица, его командировка и т.п.) при проведении контрольного мероприятия.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4.11. Срок проведения выездной проверки не может превышать 10 рабочих дней.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r>
        <w:rPr>
          <w:sz w:val="28"/>
          <w:szCs w:val="28"/>
        </w:rPr>
        <w:t xml:space="preserve">микропредприятия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проведения выездной проверки в отноше</w:t>
      </w:r>
      <w:r>
        <w:rPr>
          <w:sz w:val="28"/>
          <w:szCs w:val="28"/>
        </w:rPr>
        <w:t xml:space="preserve">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4.12. Во всех случаях проведени</w:t>
      </w:r>
      <w:r>
        <w:rPr>
          <w:sz w:val="28"/>
          <w:szCs w:val="28"/>
        </w:rPr>
        <w:t xml:space="preserve">я контрольных мероприятий для фиксации должностными лицами, уполномоченными осуществлять муниципальный земельный контроль, и лицами, привлекаемыми к совершению контрольных действий, доказательств соблюдения (нарушения) обязательных требований могут использ</w:t>
      </w:r>
      <w:r>
        <w:rPr>
          <w:sz w:val="28"/>
          <w:szCs w:val="28"/>
        </w:rPr>
        <w:t xml:space="preserve">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</w:t>
      </w:r>
      <w:r>
        <w:rPr>
          <w:sz w:val="28"/>
          <w:szCs w:val="28"/>
        </w:rPr>
        <w:t xml:space="preserve">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4.13. К результатам контрольного мероприятия относятся оценка соблюдения контр</w:t>
      </w:r>
      <w:r>
        <w:rPr>
          <w:sz w:val="28"/>
          <w:szCs w:val="28"/>
        </w:rPr>
        <w:t xml:space="preserve">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</w:t>
      </w:r>
      <w:r>
        <w:rPr>
          <w:sz w:val="28"/>
          <w:szCs w:val="28"/>
        </w:rPr>
        <w:t xml:space="preserve">ассмотрения вопроса о привлечении к ответственности и (или) применение администрацией мер, предусмотренных частью 2 статьи 90 Федерального закона от 31.07.2020 № 248-ФЗ «О государственном контроле (надзоре) и муниципальном контроле в Российской Федерации».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4.14. По окончании проведения контрольного мероприятия, </w:t>
      </w:r>
      <w:r>
        <w:rPr>
          <w:color w:val="000000"/>
          <w:sz w:val="28"/>
          <w:szCs w:val="28"/>
        </w:rPr>
        <w:t xml:space="preserve">составляется акт контрольного мероприятия. </w:t>
      </w:r>
      <w:r>
        <w:rPr>
          <w:bCs/>
          <w:color w:val="000000"/>
          <w:sz w:val="28"/>
          <w:szCs w:val="28"/>
        </w:rPr>
        <w:t xml:space="preserve">Акт контрольного мероприятия, не предусматривающего взаимодействие с контролируемым лицом, составляется в случае выявления нарушений обязательных требований. </w:t>
      </w:r>
      <w:r>
        <w:rPr>
          <w:color w:val="000000"/>
          <w:sz w:val="28"/>
          <w:szCs w:val="28"/>
        </w:rPr>
        <w:t xml:space="preserve">В случае если по результатам проведения такого мероприятия выявлено нарушен</w:t>
      </w:r>
      <w:r>
        <w:rPr>
          <w:color w:val="000000"/>
          <w:sz w:val="28"/>
          <w:szCs w:val="28"/>
        </w:rPr>
        <w:t xml:space="preserve">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</w:t>
      </w:r>
      <w:r>
        <w:rPr>
          <w:color w:val="000000"/>
          <w:sz w:val="28"/>
          <w:szCs w:val="28"/>
        </w:rPr>
        <w:t xml:space="preserve">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Оформление акта производится в день окончания проведения такого мероприятия на месте проведения контрольного мероприятия. В случае если составление акта по результатам контрольного мероприятия на месте его </w:t>
      </w:r>
      <w:r>
        <w:rPr>
          <w:color w:val="000000"/>
          <w:sz w:val="28"/>
          <w:szCs w:val="28"/>
        </w:rPr>
        <w:t xml:space="preserve">проведения невозможно по причине совершения контрольных действий, предусмотренных пунктами 6 и 9 статьи 65 Федерального закона «О государственном контроле (надз</w:t>
      </w:r>
      <w:r>
        <w:rPr>
          <w:color w:val="000000"/>
          <w:sz w:val="28"/>
          <w:szCs w:val="28"/>
        </w:rPr>
        <w:t xml:space="preserve">оре) и муниципальном контроле в Российской Федерации», акт контролируемому лицу направляется в порядке, установленном статьей 21 Федерального закона 31.07.2020 № 248-ФЗ «О государственном контроле (надзоре) и муниципальном контроле в Российской Федерации».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4.15. Информация о контрольных мероприятиях размещается в Едином реестре контрольных (надзорных) мероприятий.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1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4.16. Информирование контролируемых лиц о совершаемых должностными лицами, уполномоченными осуществлять</w:t>
      </w:r>
      <w:r>
        <w:rPr>
          <w:color w:val="000000"/>
          <w:sz w:val="28"/>
          <w:szCs w:val="28"/>
        </w:rPr>
        <w:t xml:space="preserve"> муниципальный земельный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доведения их до контролируемых лиц посредство</w:t>
      </w:r>
      <w:r>
        <w:rPr>
          <w:color w:val="000000"/>
          <w:sz w:val="28"/>
          <w:szCs w:val="28"/>
        </w:rPr>
        <w:t xml:space="preserve">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</w:t>
      </w:r>
      <w:r>
        <w:rPr>
          <w:color w:val="000000"/>
          <w:sz w:val="28"/>
          <w:szCs w:val="28"/>
        </w:rPr>
        <w:t xml:space="preserve"> через федеральную государственную информационную систему «Единый портал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не осуществляющий предпринимательской деятельности, являющийся контролируемым лицом, информируется о совершаемых должностным</w:t>
      </w:r>
      <w:r>
        <w:rPr>
          <w:sz w:val="28"/>
          <w:szCs w:val="28"/>
        </w:rPr>
        <w:t xml:space="preserve">и лицами, уполномоченными осуществлять муниципальный земельный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</w:t>
      </w:r>
      <w:r>
        <w:rPr>
          <w:sz w:val="28"/>
          <w:szCs w:val="28"/>
        </w:rPr>
        <w:t xml:space="preserve">а бумажном носителе либо отсутствия у администрации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(в случае, если лицо не имеет у</w:t>
      </w:r>
      <w:r>
        <w:rPr>
          <w:sz w:val="28"/>
          <w:szCs w:val="28"/>
        </w:rPr>
        <w:t xml:space="preserve">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 Указанный гражданин вправе направлять администрации документы на бумажном носителе.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Информирование контролируемого лица о совершаемых должностными лицами, уполно</w:t>
      </w:r>
      <w:r>
        <w:rPr>
          <w:sz w:val="28"/>
          <w:szCs w:val="28"/>
        </w:rPr>
        <w:t xml:space="preserve">моченными осуществлять муниципальный земельный контроль,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</w:t>
      </w:r>
      <w:r>
        <w:rPr>
          <w:sz w:val="28"/>
          <w:szCs w:val="28"/>
        </w:rPr>
        <w:t xml:space="preserve">невозможности информирования контролируемого лица в электронной форме либо по запросу контролируемого лица.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4.17. В случае несогласия с фактами и выводами, изложенными в ак</w:t>
      </w:r>
      <w:r>
        <w:rPr>
          <w:sz w:val="28"/>
          <w:szCs w:val="28"/>
        </w:rPr>
        <w:t xml:space="preserve">те, контролируемое лицо вправе направить жалобу в порядке, предусмотренном статьями 39 – 40 Федерального закона от 31.07.2020 № 248-ФЗ «О государственном контроле (надзоре) и муниципальном контроле в Российской Федерации» и разделом 5 настоящего Положения.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4.18. 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</w:t>
      </w:r>
      <w:r>
        <w:rPr>
          <w:sz w:val="28"/>
          <w:szCs w:val="28"/>
        </w:rPr>
        <w:t xml:space="preserve">ное лицо, уполномоченное осуществлять муниципальный земельный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4.19. В случае выявления при проведении контро</w:t>
      </w:r>
      <w:r>
        <w:rPr>
          <w:sz w:val="28"/>
          <w:szCs w:val="28"/>
        </w:rPr>
        <w:t xml:space="preserve">льного мероприятия нарушений обязательных требований контролируемым лицом администрация (должностное лицо, уполномоченное осуществлять муниципальный земельный контроль) в пределах полномочий, предусмотренных законодательством Российской Федерации, обязана: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</w:t>
      </w:r>
      <w:r>
        <w:rPr>
          <w:bCs/>
          <w:sz w:val="28"/>
          <w:szCs w:val="28"/>
        </w:rPr>
        <w:t xml:space="preserve">выдать после </w:t>
      </w:r>
      <w:r>
        <w:rPr>
          <w:bCs/>
          <w:sz w:val="28"/>
          <w:szCs w:val="28"/>
        </w:rPr>
        <w:t xml:space="preserve">оформления акта контрольного мероприятия контролируемому лицу предписание об устранении выявленных нарушений обязательный требований с указанием разумных сроков их устранения, а также других мероприятий, предусмотренных федеральным законом о виде контроля;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</w:t>
      </w:r>
      <w:r>
        <w:rPr>
          <w:sz w:val="28"/>
          <w:szCs w:val="28"/>
        </w:rPr>
        <w:t xml:space="preserve">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</w:t>
      </w:r>
      <w:r>
        <w:rPr>
          <w:sz w:val="28"/>
          <w:szCs w:val="28"/>
        </w:rPr>
        <w:t xml:space="preserve">мероприятия установлено, что деятельность гражданина, организации, владеющих и (или) пользующихся объектом земельных отношений, представляет непосредственную угрозу причинения вреда (ущерба) охраняемым законом ценностям или что такой вред (ущерб) причинен;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при выявлении в ходе контрольного мероприятия признаков преступления или</w:t>
      </w:r>
      <w:r>
        <w:rPr>
          <w:sz w:val="28"/>
          <w:szCs w:val="28"/>
        </w:rPr>
        <w:t xml:space="preserve">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4) 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</w:t>
      </w:r>
      <w:r>
        <w:rPr>
          <w:bCs/>
          <w:sz w:val="28"/>
          <w:szCs w:val="28"/>
        </w:rPr>
        <w:t xml:space="preserve">причинения вреда (ущерб</w:t>
      </w:r>
      <w:r>
        <w:rPr>
          <w:bCs/>
          <w:sz w:val="28"/>
          <w:szCs w:val="28"/>
        </w:rPr>
        <w:t xml:space="preserve">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 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 Обжалование решений администрации, действий (бездействия) должностных лиц, уполномоченных осуществлять муниципальный земельный контроль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 Решения администрации, действия (бездействие) должностн</w:t>
      </w:r>
      <w:r>
        <w:rPr>
          <w:sz w:val="28"/>
          <w:szCs w:val="28"/>
        </w:rPr>
        <w:t xml:space="preserve">ых лиц, уполномоченных осуществлять муниципальный земельный контроль, могут быть обжалованы в порядке, установленном главой 9 Федерального закона от 31.07.2020 № 248-ФЗ «О государственном контроле (надзоре) и муниципальном контроле в Российской Федерации».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 Контролируемые лица, права и законные интересы которых, по их мнению, были непосредственно нарушены в рамках осуществления муниципального земельного контроля, имеют право на досудебное обжалование: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решений о проведении контрольных мероприятий </w:t>
      </w:r>
      <w:r>
        <w:rPr>
          <w:bCs/>
          <w:sz w:val="28"/>
          <w:szCs w:val="28"/>
        </w:rPr>
        <w:t xml:space="preserve">и обязательных профилактических визитов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актов контрольных мероприятий </w:t>
      </w:r>
      <w:r>
        <w:rPr>
          <w:bCs/>
          <w:sz w:val="28"/>
          <w:szCs w:val="28"/>
        </w:rPr>
        <w:t xml:space="preserve">и обязательных профилактических визитов, предписаний об устранении выявленных нарушений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действий (бездействия) должностных лиц, уполномоченных осуществлять муниципальный земельный контроль, в рамках контрольных мероприятий </w:t>
      </w:r>
      <w:r>
        <w:rPr>
          <w:bCs/>
          <w:sz w:val="28"/>
          <w:szCs w:val="28"/>
        </w:rPr>
        <w:t xml:space="preserve">и обязательных профилактических визитов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4) решений об отнесении объектов контроля к соответствующей категории риска;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5) решений об отказе в проведении обязательных профилактических визитов по заявлениям контролируемых лиц;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6) иных решений, принимаемых администрацией по и</w:t>
      </w:r>
      <w:r>
        <w:rPr>
          <w:bCs/>
          <w:sz w:val="28"/>
          <w:szCs w:val="28"/>
        </w:rPr>
        <w:t xml:space="preserve">тогам профилактических и (или) контрольных мероприятий, предусмотренных Федеральным законом от 31.07.2020 № 248-ФЗ «О государственном контроле (надзоре) и муниципальном контроле в Российской Федерации», в отношении контролируемых лиц или объектов контроля.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 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(или) регионального портала государственных и муниципальных услуг.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Жалоба, содержащая сведения и документы, составляющие государственную или иную охраняемую законом тайну, подается без </w:t>
      </w:r>
      <w:r>
        <w:rPr>
          <w:sz w:val="28"/>
          <w:szCs w:val="28"/>
        </w:rPr>
        <w:t xml:space="preserve">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 Жалоба на решение администрации, действия (бездействие) его должностных лиц рассматривается Главой Новосибирского района 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 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 Жалоба на решение администрации, действия (бездействие) его должностных лиц подлежит рассмотрению </w:t>
      </w:r>
      <w:r>
        <w:rPr>
          <w:bCs/>
          <w:sz w:val="28"/>
          <w:szCs w:val="28"/>
        </w:rPr>
        <w:t xml:space="preserve">в течение 15 рабочих дней </w:t>
      </w:r>
      <w:r>
        <w:rPr>
          <w:sz w:val="28"/>
          <w:szCs w:val="28"/>
        </w:rPr>
        <w:t xml:space="preserve">со дня ее регистрации.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Жалоба на решение об отнесении объектов контроля к соответствующей категории риска рассматривается в срок не более 5 рабочих дней.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5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  <w:outlineLvl w:val="1"/>
      </w:pP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35"/>
        <w:ind w:firstLine="709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6. Ключевые показатели вида контроля и их целевые значения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муниципального контроля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 Оценка результативности и эффективности осуществления муниципального контроля осуществляется на основании </w:t>
      </w:r>
      <w:hyperlink r:id="rId12" w:tooltip="consultantplus://offline/ref=3988DAD3F0D78A474522AB5A4A9F8DF3DF34CCB75B77C89090323777559F34CEC550986B2E9E5BE40162366FD27C25C4EBB6DB4224981C6Bl9IEJ" w:history="1">
        <w:r>
          <w:rPr>
            <w:rFonts w:ascii="Times New Roman" w:hAnsi="Times New Roman" w:cs="Times New Roman"/>
            <w:sz w:val="28"/>
            <w:szCs w:val="28"/>
          </w:rPr>
          <w:t xml:space="preserve">статьи 30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31.07.2020 № 248-ФЗ "О государственном контроле (надзоре) и муниципальном контроле в Российской Федерации".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 Ключевые </w:t>
      </w:r>
      <w:hyperlink w:tooltip="#P536" w:anchor="P536" w:history="1">
        <w:r>
          <w:rPr>
            <w:rFonts w:ascii="Times New Roman" w:hAnsi="Times New Roman" w:cs="Times New Roman"/>
            <w:sz w:val="28"/>
            <w:szCs w:val="28"/>
          </w:rPr>
          <w:t xml:space="preserve">показатели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муниципального контроля и их целевые значения, индикативные показатели установлены Приложением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настоящему Положению.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103"/>
        <w:rPr>
          <w:sz w:val="26"/>
          <w:szCs w:val="26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left="5103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left="5103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left="5103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left="5103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left="5103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left="5103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left="5103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left="5103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left="5103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left="5103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left="5103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left="5103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left="5103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left="5103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left="5103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left="5103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left="5103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left="5103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left="5103"/>
        <w:rPr>
          <w:sz w:val="26"/>
          <w:szCs w:val="26"/>
          <w:highlight w:val="none"/>
        </w:rPr>
      </w:pPr>
      <w:r>
        <w:rPr>
          <w:sz w:val="26"/>
          <w:szCs w:val="26"/>
        </w:rPr>
        <w:t xml:space="preserve">ПРИЛОЖЕНИЕ № 1</w:t>
      </w:r>
      <w:r>
        <w:rPr>
          <w:sz w:val="26"/>
          <w:szCs w:val="26"/>
        </w:rPr>
      </w:r>
      <w:r>
        <w:rPr>
          <w:sz w:val="26"/>
          <w:szCs w:val="26"/>
          <w:highlight w:val="none"/>
        </w:rPr>
      </w:r>
    </w:p>
    <w:p>
      <w:pPr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к Положению о муниципальном земельном контроле в границах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Новосибирского района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Новосибирской области</w:t>
      </w:r>
      <w:bookmarkStart w:id="1" w:name="P411"/>
      <w:r/>
      <w:bookmarkEnd w:id="1"/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КРИТЕРИИ ОТНЕСЕНИЯ ОБЪЕКТОВ КОНТРОЛЯ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КАТЕГОРИЯМ РИСКА В РАМКАХ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ОСУЩЕСТВЛЕНИЯ МУНИЦИПАЛЬНОГО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ЗЕМЕЛЬНОГО КОНТРОЛЯ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ГРАНИЦАХ НОВОСИБИРСКОГО РАЙОНА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1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1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К категории среднего риска относятся: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 земельные участки, граничащие с земельными участками, предназначенными для захоронения и размещения отходов производства и потребления, размещения кладбищ;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земельные участки, расположенные в границах или примыкающие к границе береговой полосы водных объектов общего пользования.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К категории умеренного риска относятся земельные участки: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 относящиеся к категории земель населенных пунктов и граничащие с землями и (или) земельными участками, относящимися к категории земель сельскохозяйственного назначения, земель лесного фонда, земель особо охраняемых территорий и объектов, земель запаса;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относящиеся к категории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за исключ</w:t>
      </w:r>
      <w:r>
        <w:rPr>
          <w:rFonts w:ascii="Times New Roman" w:hAnsi="Times New Roman" w:cs="Times New Roman"/>
          <w:sz w:val="28"/>
          <w:szCs w:val="28"/>
        </w:rPr>
        <w:t xml:space="preserve">ением земель, предназначенных для размещения автомобильных дорог, железнодорожных путей, трубопроводного транспорта, линий электропередач и граничащие с землями и (или) земельными участками, относящимися к категории земель сельскохозяйственного назначения;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 относящиеся к категории земель сельскохозяйственного назначения и граничащие с землями и (или) земельными участками, относящимися к категории земель населенных пунктов.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К категории низкого риска относятся все иные земельные участки, не отнесенные к категориям среднего или умеренного риска,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также части земель, на которых не образованы земельные участки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ПРИЛОЖЕНИЕ № 2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к Положению о муниципальном земельном контроле в границах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Новосибирского района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Новосибирской области</w:t>
      </w:r>
      <w:bookmarkStart w:id="2" w:name="P437"/>
      <w:r/>
      <w:bookmarkEnd w:id="2"/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Индикаторы риска нарушения обязательных требований,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используемые для определения необходимости проведения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внеплановых проверок при осуществлении администрацией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Новосибирского района Новосибирской области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земельного контроля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center"/>
        <w:rPr>
          <w:b/>
          <w:bCs/>
          <w:sz w:val="28"/>
          <w:szCs w:val="28"/>
          <w:highlight w:val="yellow"/>
        </w:rPr>
      </w:pPr>
      <w:r>
        <w:rPr>
          <w:b/>
          <w:bCs/>
          <w:sz w:val="28"/>
          <w:szCs w:val="28"/>
          <w:highlight w:val="yellow"/>
        </w:rPr>
      </w:r>
      <w:r>
        <w:rPr>
          <w:b/>
          <w:bCs/>
          <w:sz w:val="28"/>
          <w:szCs w:val="28"/>
          <w:highlight w:val="yellow"/>
        </w:rPr>
      </w:r>
      <w:r>
        <w:rPr>
          <w:b/>
          <w:bCs/>
          <w:sz w:val="28"/>
          <w:szCs w:val="28"/>
          <w:highlight w:val="yellow"/>
        </w:rPr>
      </w:r>
    </w:p>
    <w:p>
      <w:pPr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1. Отклоне</w:t>
      </w:r>
      <w:r>
        <w:rPr>
          <w:sz w:val="28"/>
          <w:szCs w:val="28"/>
        </w:rPr>
        <w:t xml:space="preserve">ние местоположения характерной точки границы земельного участка относительно местоположения границы земельного участка, сведения о котором содержатся в Едином государственном реестре недвижимости (ЕГРН), на величину, превышающую значения точности (средней </w:t>
      </w:r>
      <w:r>
        <w:rPr>
          <w:sz w:val="28"/>
          <w:szCs w:val="28"/>
        </w:rPr>
        <w:t xml:space="preserve">квадратической</w:t>
      </w:r>
      <w:r>
        <w:rPr>
          <w:sz w:val="28"/>
          <w:szCs w:val="28"/>
        </w:rPr>
        <w:t xml:space="preserve"> погрешности) определения координат характерных точек границ земельных участков.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2. Отсутствие в ЕГРН сведений о правах на используемый юридическим лицом, индивидуальным предпринимателем, гражданином земельный участок.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3. Несоответствие использования юридическим лицом, индивидуальным предпринимателем или гражданином земельного участка виду разрешенного использования, сведения о котором содержатся в ЕГРН.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4. Отсутствие объектов капитального строительства, ведения строительных работ, связанных с возведением объектов капитально</w:t>
      </w:r>
      <w:r>
        <w:rPr>
          <w:sz w:val="28"/>
          <w:szCs w:val="28"/>
        </w:rPr>
        <w:t xml:space="preserve">го строительства на земельном участке, предназначенном для жилищного или иного строительства, по истечении трех лет с даты государственной регистрации права собственности на такой земельный участок лица, являющегося собственником такого земельного участка.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5. Наличие информации о неиспользовании по целевому назначению или использовании с нарушением законодательства Российской Федерации земельного участка из земель сельскохозяйственного назначения, оборот которых регулируется </w:t>
      </w:r>
      <w:hyperlink r:id="rId13" w:tooltip="https://docs.cntd.ru/document/901821169#7D20K3" w:anchor="7D20K3" w:history="1">
        <w:r>
          <w:rPr>
            <w:sz w:val="28"/>
            <w:szCs w:val="28"/>
          </w:rPr>
          <w:t xml:space="preserve">Федеральным законом от 24 июля 2002 г. N 101-ФЗ "Об обороте земель сельскохозяйственного назначения"</w:t>
        </w:r>
      </w:hyperlink>
      <w:r>
        <w:rPr>
          <w:sz w:val="28"/>
          <w:szCs w:val="28"/>
        </w:rPr>
        <w:t xml:space="preserve">, по истечении одного года с мом</w:t>
      </w:r>
      <w:r>
        <w:rPr>
          <w:sz w:val="28"/>
          <w:szCs w:val="28"/>
        </w:rPr>
        <w:t xml:space="preserve">ента приобретения новым собственником такого земельного участка по результатам публичных торгов на основании решения суда о его изъятии в связи с неиспользованием по целевому назначению или использованием с нарушением законодательства Российской Федерации.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6. Поступление информации о невозможности использования в соответствии с видом разрешенного использования земель и (или) земельного участка, находящихся в государствен</w:t>
      </w:r>
      <w:r>
        <w:rPr>
          <w:sz w:val="28"/>
          <w:szCs w:val="28"/>
        </w:rPr>
        <w:t xml:space="preserve">ной или муниципальной собственности и использовавшихся без предоставления земельных участков и установления сервитута, публичного сервитута, при наличии сведений о завершении на таких землях и (или) земельном участке в течение шести предшествующих месяцев: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проведения инженерных изысканий;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капитального или текущего ремонта линейного объекта;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строи</w:t>
      </w:r>
      <w:r>
        <w:rPr>
          <w:sz w:val="28"/>
          <w:szCs w:val="28"/>
        </w:rPr>
        <w:t xml:space="preserve">тельства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осуществления геологического изучения недр;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осуществления деятельности в целях сохранения и развития традиционных образа жизни, хозяйственной деятельнос</w:t>
      </w:r>
      <w:r>
        <w:rPr>
          <w:sz w:val="28"/>
          <w:szCs w:val="28"/>
        </w:rPr>
        <w:t xml:space="preserve">ти и промыслов коренных малочисленных народов Севера, Сибири и Дальнего Востока Российской Федерации в местах их традиционного проживания и традиционной хозяйственной деятельности, за исключением земель и земельных участков в границах земель лесного фонда;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возведения некапитальных строений, сооружений, предназначенных для осуществления товарной </w:t>
      </w:r>
      <w:r>
        <w:rPr>
          <w:sz w:val="28"/>
          <w:szCs w:val="28"/>
        </w:rPr>
        <w:t xml:space="preserve">аквакультуры</w:t>
      </w:r>
      <w:r>
        <w:rPr>
          <w:sz w:val="28"/>
          <w:szCs w:val="28"/>
        </w:rPr>
        <w:t xml:space="preserve"> (товарного рыбоводства);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работ в целях обеспечения судоходства для возведения на береговой полосе в пределах внутренних водных путей некапитальных строений, сооружений.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7. Наличие у администрации информации о привлечении правообладателя земельного участка к административной ответственности за использовани</w:t>
      </w:r>
      <w:r>
        <w:rPr>
          <w:sz w:val="28"/>
          <w:szCs w:val="28"/>
        </w:rPr>
        <w:t xml:space="preserve">е иного принадлежащего ему земельного участка, расположенного в границах того же кадастрового квартала, не по целевому назначению в соответствии с его принадлежностью к той или иной категории земель и (или) разрешенным использованием или неиспользование зе</w:t>
      </w:r>
      <w:r>
        <w:rPr>
          <w:sz w:val="28"/>
          <w:szCs w:val="28"/>
        </w:rPr>
        <w:t xml:space="preserve">мельного участка, предназначенного для жилищного или иного строительства, садоводства, огородничества, в указанных целях в случае, если обязанность по использованию такого земельного участка в течение установленного срока предусмотрена федеральным законом.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8. Наличие у администрации информации о нахождении на земельном учас</w:t>
      </w:r>
      <w:r>
        <w:rPr>
          <w:sz w:val="28"/>
          <w:szCs w:val="28"/>
        </w:rPr>
        <w:t xml:space="preserve">тке, предназначенном для индивидуального жилищного строительства, здания, занимающего не менее 70 процентов площади такого земельного участка и находящегося в общей долевой собственности более чем у 15 граждан. При этом основанием приобретения гражданами б</w:t>
      </w:r>
      <w:r>
        <w:rPr>
          <w:sz w:val="28"/>
          <w:szCs w:val="28"/>
        </w:rPr>
        <w:t xml:space="preserve">олее 50 процентов долей в праве общей долевой собственности на здание являются договоры купли-продажи, и доля в праве общей долевой собственности каждого участника общей долевой собственности соответствует 40 и более квадратным метрам общей площади здания.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 Несоблюдение обязательных требований по использованию земельных участков из земель сельскохоз</w:t>
      </w:r>
      <w:r>
        <w:rPr>
          <w:sz w:val="28"/>
          <w:szCs w:val="28"/>
        </w:rPr>
        <w:t xml:space="preserve">яйственного назначения, оборот которых регулируется Федеральным законом «Об обороте земель сельскохозяйственного назначения», для ведения сельскохозяйственного производства или осуществления иной связанной с сельскохозяйственным производством деятельности;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 Зарастание сорной растительностью и (или) древесно-кустарниковой растительностью, не относящейся к многолетним плодово-ягодным наса</w:t>
      </w:r>
      <w:r>
        <w:rPr>
          <w:sz w:val="28"/>
          <w:szCs w:val="28"/>
        </w:rPr>
        <w:t xml:space="preserve">ждениям, за исключением мелиоративных защитных лесных насаждений, земельного участка,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 Наличие на земельном участке специализированной техники, используемой для снятия и (или) перемещения плодородного слоя почвы;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 Наличие на земельном участке признаков, свидетельствующих</w:t>
      </w:r>
      <w:r>
        <w:rPr>
          <w:sz w:val="28"/>
          <w:szCs w:val="28"/>
        </w:rPr>
        <w:t xml:space="preserve"> о повреждении или уничтожении мелиоративной системы или отдельно расположенного гидротехнического сооружения (утечка воды из канала или отсутствие подачи воды в канале (его части), который входит в мелиоративную систему или является отдельно расположенным</w:t>
      </w:r>
      <w:r>
        <w:rPr>
          <w:sz w:val="28"/>
          <w:szCs w:val="28"/>
        </w:rPr>
        <w:t xml:space="preserve"> гидротехническим сооружением; заболачивание земельного участка, на котором расположены мелиоративная система или отдельно расположенное гидротехническое сооружение), а также мелиоративных защитных лесных насаждений (спиливание, складирование или сжигание </w:t>
      </w:r>
      <w:r>
        <w:rPr>
          <w:sz w:val="28"/>
          <w:szCs w:val="28"/>
        </w:rPr>
        <w:t xml:space="preserve">древеснокустарниковой</w:t>
      </w:r>
      <w:r>
        <w:rPr>
          <w:sz w:val="28"/>
          <w:szCs w:val="28"/>
        </w:rPr>
        <w:t xml:space="preserve"> растительности, составляющей защитные лесополосы).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103"/>
        <w:rPr>
          <w:sz w:val="26"/>
          <w:szCs w:val="26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left="5103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left="5103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left="5103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left="5103"/>
        <w:rPr>
          <w:sz w:val="26"/>
          <w:szCs w:val="26"/>
          <w:highlight w:val="none"/>
        </w:rPr>
      </w:pPr>
      <w:r>
        <w:rPr>
          <w:sz w:val="26"/>
          <w:szCs w:val="26"/>
        </w:rPr>
        <w:t xml:space="preserve">ПРИЛОЖЕНИЕ № 3</w:t>
      </w:r>
      <w:r>
        <w:rPr>
          <w:sz w:val="26"/>
          <w:szCs w:val="26"/>
        </w:rPr>
      </w:r>
      <w:r>
        <w:rPr>
          <w:sz w:val="26"/>
          <w:szCs w:val="26"/>
          <w:highlight w:val="none"/>
        </w:rPr>
      </w:r>
    </w:p>
    <w:p>
      <w:pPr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к Положению о муниципальном земельном контроле в границах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Новосибирского района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Новосибирской области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/>
      <w:bookmarkStart w:id="3" w:name="P536"/>
      <w:r/>
      <w:bookmarkEnd w:id="3"/>
      <w:r>
        <w:rPr>
          <w:rFonts w:ascii="Times New Roman" w:hAnsi="Times New Roman" w:cs="Times New Roman"/>
          <w:sz w:val="28"/>
          <w:szCs w:val="28"/>
        </w:rPr>
        <w:t xml:space="preserve">КЛЮЧЕВЫЕ ПОКАЗАТЕЛИ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ВИДА КОНТРОЛЯ И ИХ ЦЕЛЕВЫЕ ЗНАЧЕНИЯ,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ИНДИКАТИВНЫЕ ПОКАЗАТЕЛИ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МУНИЦИПАЛЬНОГО ЗЕМЕЛЬНОГО КОНТРОЛЯ В ГРАНИЦАХ НОВОСИБИРСКОГО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Ключевые показатели и их целевые значения: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устраненных нарушений из числа выявленных нарушений обязательных требований – 70 %.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обоснованных жалоб на действия (бездействие) контрольного органа и (или) его должностного лица при проведении контрольных мероприятий – 0 %.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отмененных результатов контрольных мероприятий – 0 %.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контрольных мероприятий, по результатам которых были выявлены нарушения, но не приняты соответствующие меры административного воздействия, - 5 %.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вынесенных судебных решений о назначении административного наказания по материалам контрольного органа – 95 %.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постановлений, за исключением постановлений, отмененных на основании </w:t>
      </w:r>
      <w:hyperlink r:id="rId14" w:tooltip="consultantplus://offline/ref=3988DAD3F0D78A474522AB5A4A9F8DF3DF34CCB75B7AC89090323777559F34CEC550986B2E9E58E10962366FD27C25C4EBB6DB4224981C6Bl9IEJ" w:history="1">
        <w:r>
          <w:rPr>
            <w:rFonts w:ascii="Times New Roman" w:hAnsi="Times New Roman" w:cs="Times New Roman"/>
            <w:sz w:val="28"/>
            <w:szCs w:val="28"/>
          </w:rPr>
          <w:t xml:space="preserve">статей 2.7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tooltip="consultantplus://offline/ref=3988DAD3F0D78A474522AB5A4A9F8DF3DF34CCB75B7AC89090323777559F34CEC550986B2E9E58E10D62366FD27C25C4EBB6DB4224981C6Bl9IEJ" w:history="1">
        <w:r>
          <w:rPr>
            <w:rFonts w:ascii="Times New Roman" w:hAnsi="Times New Roman" w:cs="Times New Roman"/>
            <w:sz w:val="28"/>
            <w:szCs w:val="28"/>
          </w:rPr>
          <w:t xml:space="preserve">2.9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 – 0 %.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Индикативные показатели: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контроля устанавливаются следующие индикативные показатели: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проведенных внеплановых контрольных мероприятий;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поступивших возражений в отношении акта контрольного мероприятия;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выданных предписаний об устранении нарушений обязательных требований;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выданных предостережений об устранении нарушений обязательных требований;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устраненных нарушений обязательных требований.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680" w:bottom="1134" w:left="1701" w:header="284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Verdana">
    <w:panose1 w:val="020B0604030504040204"/>
  </w:font>
  <w:font w:name="Liberation Mono">
    <w:panose1 w:val="02070409020205020404"/>
  </w:font>
  <w:font w:name="Calibri">
    <w:panose1 w:val="020F0502020204030204"/>
  </w:font>
  <w:font w:name="Courier New">
    <w:panose1 w:val="02070309020205020404"/>
  </w:font>
  <w:font w:name="Droid Sans Fallback">
    <w:panose1 w:val="02000603000000000000"/>
  </w:font>
  <w:font w:name="Droid Sans Devanagari">
    <w:panose1 w:val="02000603000000000000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390193269"/>
      <w:docPartObj>
        <w:docPartGallery w:val="Page Numbers (Top of Page)"/>
        <w:docPartUnique w:val="true"/>
      </w:docPartObj>
      <w:rPr/>
    </w:sdtPr>
    <w:sdtContent>
      <w:p>
        <w:pPr>
          <w:pStyle w:val="951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PAGE   \* MERGEFORMAT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 xml:space="preserve">21</w:t>
        </w:r>
        <w:r>
          <w:rPr>
            <w:sz w:val="20"/>
            <w:szCs w:val="20"/>
          </w:rPr>
          <w:fldChar w:fldCharType="end"/>
        </w:r>
        <w:r>
          <w:rPr>
            <w:sz w:val="20"/>
            <w:szCs w:val="20"/>
          </w:rPr>
        </w:r>
        <w:r>
          <w:rPr>
            <w:sz w:val="20"/>
            <w:szCs w:val="20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rPr>
        <w:rStyle w:val="955"/>
      </w:rPr>
      <w:framePr w:wrap="none" w:vAnchor="text" w:hAnchor="margin" w:xAlign="center" w:y="1"/>
    </w:pPr>
    <w:r>
      <w:rPr>
        <w:rStyle w:val="955"/>
      </w:rPr>
      <w:fldChar w:fldCharType="begin"/>
    </w:r>
    <w:r>
      <w:rPr>
        <w:rStyle w:val="955"/>
      </w:rPr>
      <w:instrText xml:space="preserve"> PAGE </w:instrText>
    </w:r>
    <w:r>
      <w:rPr>
        <w:rStyle w:val="955"/>
      </w:rPr>
      <w:fldChar w:fldCharType="end"/>
    </w:r>
    <w:r>
      <w:rPr>
        <w:rStyle w:val="955"/>
      </w:rPr>
    </w:r>
    <w:r>
      <w:rPr>
        <w:rStyle w:val="955"/>
      </w:rPr>
    </w:r>
  </w:p>
  <w:p>
    <w:pPr>
      <w:pStyle w:val="95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pStyle w:val="71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pStyle w:val="71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pStyle w:val="71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pStyle w:val="71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4">
    <w:name w:val="Heading 1 Char"/>
    <w:basedOn w:val="723"/>
    <w:link w:val="714"/>
    <w:uiPriority w:val="9"/>
    <w:rPr>
      <w:rFonts w:ascii="Arial" w:hAnsi="Arial" w:eastAsia="Arial" w:cs="Arial"/>
      <w:sz w:val="40"/>
      <w:szCs w:val="40"/>
    </w:rPr>
  </w:style>
  <w:style w:type="character" w:styleId="705">
    <w:name w:val="Heading 2 Char"/>
    <w:basedOn w:val="723"/>
    <w:link w:val="715"/>
    <w:uiPriority w:val="9"/>
    <w:rPr>
      <w:rFonts w:ascii="Arial" w:hAnsi="Arial" w:eastAsia="Arial" w:cs="Arial"/>
      <w:sz w:val="34"/>
    </w:rPr>
  </w:style>
  <w:style w:type="character" w:styleId="706">
    <w:name w:val="Heading 7 Char"/>
    <w:basedOn w:val="723"/>
    <w:link w:val="7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8 Char"/>
    <w:basedOn w:val="723"/>
    <w:link w:val="721"/>
    <w:uiPriority w:val="9"/>
    <w:rPr>
      <w:rFonts w:ascii="Arial" w:hAnsi="Arial" w:eastAsia="Arial" w:cs="Arial"/>
      <w:i/>
      <w:iCs/>
      <w:sz w:val="22"/>
      <w:szCs w:val="22"/>
    </w:rPr>
  </w:style>
  <w:style w:type="character" w:styleId="708">
    <w:name w:val="Heading 9 Char"/>
    <w:basedOn w:val="723"/>
    <w:link w:val="722"/>
    <w:uiPriority w:val="9"/>
    <w:rPr>
      <w:rFonts w:ascii="Arial" w:hAnsi="Arial" w:eastAsia="Arial" w:cs="Arial"/>
      <w:i/>
      <w:iCs/>
      <w:sz w:val="21"/>
      <w:szCs w:val="21"/>
    </w:rPr>
  </w:style>
  <w:style w:type="character" w:styleId="709">
    <w:name w:val="Title Char"/>
    <w:basedOn w:val="723"/>
    <w:link w:val="735"/>
    <w:uiPriority w:val="10"/>
    <w:rPr>
      <w:sz w:val="48"/>
      <w:szCs w:val="48"/>
    </w:rPr>
  </w:style>
  <w:style w:type="character" w:styleId="710">
    <w:name w:val="Quote Char"/>
    <w:link w:val="738"/>
    <w:uiPriority w:val="29"/>
    <w:rPr>
      <w:i/>
    </w:rPr>
  </w:style>
  <w:style w:type="character" w:styleId="711">
    <w:name w:val="Intense Quote Char"/>
    <w:link w:val="740"/>
    <w:uiPriority w:val="30"/>
    <w:rPr>
      <w:i/>
    </w:rPr>
  </w:style>
  <w:style w:type="character" w:styleId="712">
    <w:name w:val="Endnote Text Char"/>
    <w:link w:val="871"/>
    <w:uiPriority w:val="99"/>
    <w:rPr>
      <w:sz w:val="20"/>
    </w:rPr>
  </w:style>
  <w:style w:type="paragraph" w:styleId="713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14">
    <w:name w:val="Heading 1"/>
    <w:basedOn w:val="713"/>
    <w:next w:val="713"/>
    <w:link w:val="72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15">
    <w:name w:val="Heading 2"/>
    <w:basedOn w:val="713"/>
    <w:next w:val="713"/>
    <w:link w:val="72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16">
    <w:name w:val="Heading 3"/>
    <w:basedOn w:val="928"/>
    <w:next w:val="929"/>
    <w:link w:val="885"/>
    <w:qFormat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717">
    <w:name w:val="Heading 4"/>
    <w:basedOn w:val="713"/>
    <w:next w:val="713"/>
    <w:link w:val="886"/>
    <w:qFormat/>
    <w:pPr>
      <w:numPr>
        <w:ilvl w:val="3"/>
        <w:numId w:val="1"/>
      </w:numPr>
      <w:keepNext/>
      <w:spacing w:before="240" w:after="60"/>
      <w:outlineLvl w:val="3"/>
    </w:pPr>
    <w:rPr>
      <w:b/>
      <w:bCs/>
    </w:rPr>
  </w:style>
  <w:style w:type="paragraph" w:styleId="718">
    <w:name w:val="Heading 5"/>
    <w:basedOn w:val="713"/>
    <w:next w:val="719"/>
    <w:link w:val="887"/>
    <w:qFormat/>
    <w:pPr>
      <w:numPr>
        <w:ilvl w:val="4"/>
        <w:numId w:val="1"/>
      </w:numPr>
      <w:jc w:val="center"/>
      <w:spacing w:before="480"/>
      <w:outlineLvl w:val="4"/>
    </w:pPr>
    <w:rPr>
      <w:sz w:val="40"/>
      <w:szCs w:val="20"/>
    </w:rPr>
  </w:style>
  <w:style w:type="paragraph" w:styleId="719">
    <w:name w:val="Heading 6"/>
    <w:basedOn w:val="713"/>
    <w:next w:val="713"/>
    <w:link w:val="888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20">
    <w:name w:val="Heading 7"/>
    <w:basedOn w:val="713"/>
    <w:next w:val="713"/>
    <w:link w:val="73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1">
    <w:name w:val="Heading 8"/>
    <w:basedOn w:val="713"/>
    <w:next w:val="713"/>
    <w:link w:val="7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2">
    <w:name w:val="Heading 9"/>
    <w:basedOn w:val="713"/>
    <w:next w:val="713"/>
    <w:link w:val="73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3" w:default="1">
    <w:name w:val="Default Paragraph Font"/>
    <w:uiPriority w:val="1"/>
    <w:semiHidden/>
    <w:unhideWhenUsed/>
  </w:style>
  <w:style w:type="table" w:styleId="72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5" w:default="1">
    <w:name w:val="No List"/>
    <w:uiPriority w:val="99"/>
    <w:semiHidden/>
    <w:unhideWhenUsed/>
  </w:style>
  <w:style w:type="character" w:styleId="726" w:customStyle="1">
    <w:name w:val="Заголовок 1 Знак"/>
    <w:basedOn w:val="723"/>
    <w:link w:val="714"/>
    <w:uiPriority w:val="9"/>
    <w:rPr>
      <w:rFonts w:ascii="Arial" w:hAnsi="Arial" w:eastAsia="Arial" w:cs="Arial"/>
      <w:sz w:val="40"/>
      <w:szCs w:val="40"/>
    </w:rPr>
  </w:style>
  <w:style w:type="character" w:styleId="727" w:customStyle="1">
    <w:name w:val="Заголовок 2 Знак"/>
    <w:basedOn w:val="723"/>
    <w:link w:val="715"/>
    <w:uiPriority w:val="9"/>
    <w:rPr>
      <w:rFonts w:ascii="Arial" w:hAnsi="Arial" w:eastAsia="Arial" w:cs="Arial"/>
      <w:sz w:val="34"/>
    </w:rPr>
  </w:style>
  <w:style w:type="character" w:styleId="728" w:customStyle="1">
    <w:name w:val="Heading 3 Char"/>
    <w:basedOn w:val="723"/>
    <w:uiPriority w:val="9"/>
    <w:rPr>
      <w:rFonts w:ascii="Arial" w:hAnsi="Arial" w:eastAsia="Arial" w:cs="Arial"/>
      <w:sz w:val="30"/>
      <w:szCs w:val="30"/>
    </w:rPr>
  </w:style>
  <w:style w:type="character" w:styleId="729" w:customStyle="1">
    <w:name w:val="Heading 4 Char"/>
    <w:basedOn w:val="723"/>
    <w:uiPriority w:val="9"/>
    <w:rPr>
      <w:rFonts w:ascii="Arial" w:hAnsi="Arial" w:eastAsia="Arial" w:cs="Arial"/>
      <w:b/>
      <w:bCs/>
      <w:sz w:val="26"/>
      <w:szCs w:val="26"/>
    </w:rPr>
  </w:style>
  <w:style w:type="character" w:styleId="730" w:customStyle="1">
    <w:name w:val="Heading 5 Char"/>
    <w:basedOn w:val="723"/>
    <w:uiPriority w:val="9"/>
    <w:rPr>
      <w:rFonts w:ascii="Arial" w:hAnsi="Arial" w:eastAsia="Arial" w:cs="Arial"/>
      <w:b/>
      <w:bCs/>
      <w:sz w:val="24"/>
      <w:szCs w:val="24"/>
    </w:rPr>
  </w:style>
  <w:style w:type="character" w:styleId="731" w:customStyle="1">
    <w:name w:val="Heading 6 Char"/>
    <w:basedOn w:val="723"/>
    <w:uiPriority w:val="9"/>
    <w:rPr>
      <w:rFonts w:ascii="Arial" w:hAnsi="Arial" w:eastAsia="Arial" w:cs="Arial"/>
      <w:b/>
      <w:bCs/>
      <w:sz w:val="22"/>
      <w:szCs w:val="22"/>
    </w:rPr>
  </w:style>
  <w:style w:type="character" w:styleId="732" w:customStyle="1">
    <w:name w:val="Заголовок 7 Знак"/>
    <w:basedOn w:val="723"/>
    <w:link w:val="7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3" w:customStyle="1">
    <w:name w:val="Заголовок 8 Знак"/>
    <w:basedOn w:val="723"/>
    <w:link w:val="721"/>
    <w:uiPriority w:val="9"/>
    <w:rPr>
      <w:rFonts w:ascii="Arial" w:hAnsi="Arial" w:eastAsia="Arial" w:cs="Arial"/>
      <w:i/>
      <w:iCs/>
      <w:sz w:val="22"/>
      <w:szCs w:val="22"/>
    </w:rPr>
  </w:style>
  <w:style w:type="character" w:styleId="734" w:customStyle="1">
    <w:name w:val="Заголовок 9 Знак"/>
    <w:basedOn w:val="723"/>
    <w:link w:val="722"/>
    <w:uiPriority w:val="9"/>
    <w:rPr>
      <w:rFonts w:ascii="Arial" w:hAnsi="Arial" w:eastAsia="Arial" w:cs="Arial"/>
      <w:i/>
      <w:iCs/>
      <w:sz w:val="21"/>
      <w:szCs w:val="21"/>
    </w:rPr>
  </w:style>
  <w:style w:type="paragraph" w:styleId="735">
    <w:name w:val="Title"/>
    <w:basedOn w:val="713"/>
    <w:next w:val="713"/>
    <w:link w:val="73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6" w:customStyle="1">
    <w:name w:val="Название Знак1"/>
    <w:basedOn w:val="723"/>
    <w:link w:val="735"/>
    <w:uiPriority w:val="10"/>
    <w:rPr>
      <w:sz w:val="48"/>
      <w:szCs w:val="48"/>
    </w:rPr>
  </w:style>
  <w:style w:type="character" w:styleId="737" w:customStyle="1">
    <w:name w:val="Subtitle Char"/>
    <w:basedOn w:val="723"/>
    <w:uiPriority w:val="11"/>
    <w:rPr>
      <w:sz w:val="24"/>
      <w:szCs w:val="24"/>
    </w:rPr>
  </w:style>
  <w:style w:type="paragraph" w:styleId="738">
    <w:name w:val="Quote"/>
    <w:basedOn w:val="713"/>
    <w:next w:val="713"/>
    <w:link w:val="739"/>
    <w:uiPriority w:val="29"/>
    <w:qFormat/>
    <w:pPr>
      <w:ind w:left="720" w:right="720"/>
    </w:pPr>
    <w:rPr>
      <w:i/>
    </w:rPr>
  </w:style>
  <w:style w:type="character" w:styleId="739" w:customStyle="1">
    <w:name w:val="Цитата 2 Знак"/>
    <w:link w:val="738"/>
    <w:uiPriority w:val="29"/>
    <w:rPr>
      <w:i/>
    </w:rPr>
  </w:style>
  <w:style w:type="paragraph" w:styleId="740">
    <w:name w:val="Intense Quote"/>
    <w:basedOn w:val="713"/>
    <w:next w:val="713"/>
    <w:link w:val="74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1" w:customStyle="1">
    <w:name w:val="Выделенная цитата Знак"/>
    <w:link w:val="740"/>
    <w:uiPriority w:val="30"/>
    <w:rPr>
      <w:i/>
    </w:rPr>
  </w:style>
  <w:style w:type="character" w:styleId="742" w:customStyle="1">
    <w:name w:val="Header Char"/>
    <w:basedOn w:val="723"/>
    <w:uiPriority w:val="99"/>
  </w:style>
  <w:style w:type="character" w:styleId="743" w:customStyle="1">
    <w:name w:val="Footer Char"/>
    <w:basedOn w:val="723"/>
    <w:uiPriority w:val="99"/>
  </w:style>
  <w:style w:type="character" w:styleId="744" w:customStyle="1">
    <w:name w:val="Caption Char"/>
    <w:uiPriority w:val="99"/>
  </w:style>
  <w:style w:type="table" w:styleId="745" w:customStyle="1">
    <w:name w:val="Table Grid Light"/>
    <w:basedOn w:val="72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6">
    <w:name w:val="Plain Table 1"/>
    <w:basedOn w:val="72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basedOn w:val="72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basedOn w:val="72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basedOn w:val="72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basedOn w:val="72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1">
    <w:name w:val="Grid Table 1 Light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4"/>
    <w:basedOn w:val="72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3" w:customStyle="1">
    <w:name w:val="Grid Table 4 - Accent 1"/>
    <w:basedOn w:val="72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74" w:customStyle="1">
    <w:name w:val="Grid Table 4 - Accent 2"/>
    <w:basedOn w:val="72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75" w:customStyle="1">
    <w:name w:val="Grid Table 4 - Accent 3"/>
    <w:basedOn w:val="72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76" w:customStyle="1">
    <w:name w:val="Grid Table 4 - Accent 4"/>
    <w:basedOn w:val="72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77" w:customStyle="1">
    <w:name w:val="Grid Table 4 - Accent 5"/>
    <w:basedOn w:val="72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78" w:customStyle="1">
    <w:name w:val="Grid Table 4 - Accent 6"/>
    <w:basedOn w:val="72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79">
    <w:name w:val="Grid Table 5 Dark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86">
    <w:name w:val="Grid Table 6 Colorful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7" w:customStyle="1">
    <w:name w:val="Grid Table 6 Colorful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88" w:customStyle="1">
    <w:name w:val="Grid Table 6 Colorful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89" w:customStyle="1">
    <w:name w:val="Grid Table 6 Colorful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90" w:customStyle="1">
    <w:name w:val="Grid Table 6 Colorful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91" w:customStyle="1">
    <w:name w:val="Grid Table 6 Colorful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92" w:customStyle="1">
    <w:name w:val="Grid Table 6 Colorful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93">
    <w:name w:val="Grid Table 7 Colorful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4" w:customStyle="1">
    <w:name w:val="Grid Table 7 Colorful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5" w:customStyle="1">
    <w:name w:val="Grid Table 7 Colorful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6" w:customStyle="1">
    <w:name w:val="Grid Table 7 Colorful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7" w:customStyle="1">
    <w:name w:val="Grid Table 7 Colorful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8" w:customStyle="1">
    <w:name w:val="Grid Table 7 Colorful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9" w:customStyle="1">
    <w:name w:val="Grid Table 7 Colorful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0">
    <w:name w:val="List Table 1 Light"/>
    <w:basedOn w:val="72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1"/>
    <w:basedOn w:val="72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2"/>
    <w:basedOn w:val="72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3"/>
    <w:basedOn w:val="72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4"/>
    <w:basedOn w:val="72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5"/>
    <w:basedOn w:val="72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6"/>
    <w:basedOn w:val="72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14">
    <w:name w:val="List Table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>
    <w:name w:val="List Table 6 Colorful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6" w:customStyle="1">
    <w:name w:val="List Table 6 Colorful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37" w:customStyle="1">
    <w:name w:val="List Table 6 Colorful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38" w:customStyle="1">
    <w:name w:val="List Table 6 Colorful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39" w:customStyle="1">
    <w:name w:val="List Table 6 Colorful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40" w:customStyle="1">
    <w:name w:val="List Table 6 Colorful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41" w:customStyle="1">
    <w:name w:val="List Table 6 Colorful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42">
    <w:name w:val="List Table 7 Colorful"/>
    <w:basedOn w:val="72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3" w:customStyle="1">
    <w:name w:val="List Table 7 Colorful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4" w:customStyle="1">
    <w:name w:val="List Table 7 Colorful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5" w:customStyle="1">
    <w:name w:val="List Table 7 Colorful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6" w:customStyle="1">
    <w:name w:val="List Table 7 Colorful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7" w:customStyle="1">
    <w:name w:val="List Table 7 Colorful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8" w:customStyle="1">
    <w:name w:val="List Table 7 Colorful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9" w:customStyle="1">
    <w:name w:val="Lined - Accent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0" w:customStyle="1">
    <w:name w:val="Lined - Accent 1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51" w:customStyle="1">
    <w:name w:val="Lined - Accent 2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2" w:customStyle="1">
    <w:name w:val="Lined - Accent 3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3" w:customStyle="1">
    <w:name w:val="Lined - Accent 4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4" w:customStyle="1">
    <w:name w:val="Lined - Accent 5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55" w:customStyle="1">
    <w:name w:val="Lined - Accent 6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6" w:customStyle="1">
    <w:name w:val="Bordered &amp; Lined - Accent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7" w:customStyle="1">
    <w:name w:val="Bordered &amp; Lined - Accent 1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58" w:customStyle="1">
    <w:name w:val="Bordered &amp; Lined - Accent 2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9" w:customStyle="1">
    <w:name w:val="Bordered &amp; Lined - Accent 3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60" w:customStyle="1">
    <w:name w:val="Bordered &amp; Lined - Accent 4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61" w:customStyle="1">
    <w:name w:val="Bordered &amp; Lined - Accent 5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62" w:customStyle="1">
    <w:name w:val="Bordered &amp; Lined - Accent 6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63" w:customStyle="1">
    <w:name w:val="Bordered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4" w:customStyle="1">
    <w:name w:val="Bordered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65" w:customStyle="1">
    <w:name w:val="Bordered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66" w:customStyle="1">
    <w:name w:val="Bordered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67" w:customStyle="1">
    <w:name w:val="Bordered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68" w:customStyle="1">
    <w:name w:val="Bordered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69" w:customStyle="1">
    <w:name w:val="Bordered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70" w:customStyle="1">
    <w:name w:val="Footnote Text Char"/>
    <w:uiPriority w:val="99"/>
    <w:rPr>
      <w:sz w:val="18"/>
    </w:rPr>
  </w:style>
  <w:style w:type="paragraph" w:styleId="871">
    <w:name w:val="endnote text"/>
    <w:basedOn w:val="713"/>
    <w:link w:val="872"/>
    <w:uiPriority w:val="99"/>
    <w:semiHidden/>
    <w:unhideWhenUsed/>
    <w:rPr>
      <w:sz w:val="20"/>
    </w:rPr>
  </w:style>
  <w:style w:type="character" w:styleId="872" w:customStyle="1">
    <w:name w:val="Текст концевой сноски Знак"/>
    <w:link w:val="871"/>
    <w:uiPriority w:val="99"/>
    <w:rPr>
      <w:sz w:val="20"/>
    </w:rPr>
  </w:style>
  <w:style w:type="character" w:styleId="873">
    <w:name w:val="endnote reference"/>
    <w:basedOn w:val="723"/>
    <w:uiPriority w:val="99"/>
    <w:semiHidden/>
    <w:unhideWhenUsed/>
    <w:rPr>
      <w:vertAlign w:val="superscript"/>
    </w:rPr>
  </w:style>
  <w:style w:type="paragraph" w:styleId="874">
    <w:name w:val="toc 1"/>
    <w:basedOn w:val="713"/>
    <w:next w:val="713"/>
    <w:uiPriority w:val="39"/>
    <w:unhideWhenUsed/>
    <w:pPr>
      <w:spacing w:after="57"/>
    </w:pPr>
  </w:style>
  <w:style w:type="paragraph" w:styleId="875">
    <w:name w:val="toc 2"/>
    <w:basedOn w:val="713"/>
    <w:next w:val="713"/>
    <w:uiPriority w:val="39"/>
    <w:unhideWhenUsed/>
    <w:pPr>
      <w:ind w:left="283"/>
      <w:spacing w:after="57"/>
    </w:pPr>
  </w:style>
  <w:style w:type="paragraph" w:styleId="876">
    <w:name w:val="toc 3"/>
    <w:basedOn w:val="713"/>
    <w:next w:val="713"/>
    <w:uiPriority w:val="39"/>
    <w:unhideWhenUsed/>
    <w:pPr>
      <w:ind w:left="567"/>
      <w:spacing w:after="57"/>
    </w:pPr>
  </w:style>
  <w:style w:type="paragraph" w:styleId="877">
    <w:name w:val="toc 4"/>
    <w:basedOn w:val="713"/>
    <w:next w:val="713"/>
    <w:uiPriority w:val="39"/>
    <w:unhideWhenUsed/>
    <w:pPr>
      <w:ind w:left="850"/>
      <w:spacing w:after="57"/>
    </w:pPr>
  </w:style>
  <w:style w:type="paragraph" w:styleId="878">
    <w:name w:val="toc 5"/>
    <w:basedOn w:val="713"/>
    <w:next w:val="713"/>
    <w:uiPriority w:val="39"/>
    <w:unhideWhenUsed/>
    <w:pPr>
      <w:ind w:left="1134"/>
      <w:spacing w:after="57"/>
    </w:pPr>
  </w:style>
  <w:style w:type="paragraph" w:styleId="879">
    <w:name w:val="toc 6"/>
    <w:basedOn w:val="713"/>
    <w:next w:val="713"/>
    <w:uiPriority w:val="39"/>
    <w:unhideWhenUsed/>
    <w:pPr>
      <w:ind w:left="1417"/>
      <w:spacing w:after="57"/>
    </w:pPr>
  </w:style>
  <w:style w:type="paragraph" w:styleId="880">
    <w:name w:val="toc 7"/>
    <w:basedOn w:val="713"/>
    <w:next w:val="713"/>
    <w:uiPriority w:val="39"/>
    <w:unhideWhenUsed/>
    <w:pPr>
      <w:ind w:left="1701"/>
      <w:spacing w:after="57"/>
    </w:pPr>
  </w:style>
  <w:style w:type="paragraph" w:styleId="881">
    <w:name w:val="toc 8"/>
    <w:basedOn w:val="713"/>
    <w:next w:val="713"/>
    <w:uiPriority w:val="39"/>
    <w:unhideWhenUsed/>
    <w:pPr>
      <w:ind w:left="1984"/>
      <w:spacing w:after="57"/>
    </w:pPr>
  </w:style>
  <w:style w:type="paragraph" w:styleId="882">
    <w:name w:val="toc 9"/>
    <w:basedOn w:val="713"/>
    <w:next w:val="713"/>
    <w:uiPriority w:val="39"/>
    <w:unhideWhenUsed/>
    <w:pPr>
      <w:ind w:left="2268"/>
      <w:spacing w:after="57"/>
    </w:pPr>
  </w:style>
  <w:style w:type="paragraph" w:styleId="883">
    <w:name w:val="TOC Heading"/>
    <w:uiPriority w:val="39"/>
    <w:unhideWhenUsed/>
  </w:style>
  <w:style w:type="paragraph" w:styleId="884">
    <w:name w:val="table of figures"/>
    <w:basedOn w:val="713"/>
    <w:next w:val="713"/>
    <w:uiPriority w:val="99"/>
    <w:unhideWhenUsed/>
  </w:style>
  <w:style w:type="character" w:styleId="885" w:customStyle="1">
    <w:name w:val="Заголовок 3 Знак"/>
    <w:basedOn w:val="723"/>
    <w:link w:val="716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86" w:customStyle="1">
    <w:name w:val="Заголовок 4 Знак"/>
    <w:basedOn w:val="723"/>
    <w:link w:val="71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87" w:customStyle="1">
    <w:name w:val="Заголовок 5 Знак"/>
    <w:basedOn w:val="723"/>
    <w:link w:val="718"/>
    <w:rPr>
      <w:rFonts w:ascii="Times New Roman" w:hAnsi="Times New Roman" w:eastAsia="Times New Roman" w:cs="Times New Roman"/>
      <w:sz w:val="40"/>
      <w:szCs w:val="20"/>
      <w:lang w:eastAsia="ru-RU"/>
    </w:rPr>
  </w:style>
  <w:style w:type="character" w:styleId="888" w:customStyle="1">
    <w:name w:val="Заголовок 6 Знак"/>
    <w:basedOn w:val="723"/>
    <w:link w:val="719"/>
    <w:rPr>
      <w:rFonts w:ascii="Times New Roman" w:hAnsi="Times New Roman" w:eastAsia="Times New Roman" w:cs="Times New Roman"/>
      <w:b/>
      <w:bCs/>
      <w:lang w:eastAsia="ru-RU"/>
    </w:rPr>
  </w:style>
  <w:style w:type="character" w:styleId="889" w:customStyle="1">
    <w:name w:val="WW8Num1z0"/>
  </w:style>
  <w:style w:type="character" w:styleId="890" w:customStyle="1">
    <w:name w:val="WW8Num1z1"/>
  </w:style>
  <w:style w:type="character" w:styleId="891" w:customStyle="1">
    <w:name w:val="WW8Num1z2"/>
  </w:style>
  <w:style w:type="character" w:styleId="892" w:customStyle="1">
    <w:name w:val="WW8Num1z3"/>
  </w:style>
  <w:style w:type="character" w:styleId="893" w:customStyle="1">
    <w:name w:val="WW8Num1z4"/>
  </w:style>
  <w:style w:type="character" w:styleId="894" w:customStyle="1">
    <w:name w:val="WW8Num1z5"/>
  </w:style>
  <w:style w:type="character" w:styleId="895" w:customStyle="1">
    <w:name w:val="WW8Num1z6"/>
  </w:style>
  <w:style w:type="character" w:styleId="896" w:customStyle="1">
    <w:name w:val="WW8Num1z7"/>
  </w:style>
  <w:style w:type="character" w:styleId="897" w:customStyle="1">
    <w:name w:val="WW8Num1z8"/>
  </w:style>
  <w:style w:type="character" w:styleId="898" w:customStyle="1">
    <w:name w:val="WW8Num2z0"/>
    <w:rPr>
      <w:rFonts w:hint="default"/>
      <w:b w:val="0"/>
      <w:i w:val="0"/>
      <w:color w:val="000000"/>
    </w:rPr>
  </w:style>
  <w:style w:type="character" w:styleId="899" w:customStyle="1">
    <w:name w:val="WW8Num2z1"/>
  </w:style>
  <w:style w:type="character" w:styleId="900" w:customStyle="1">
    <w:name w:val="WW8Num2z2"/>
  </w:style>
  <w:style w:type="character" w:styleId="901" w:customStyle="1">
    <w:name w:val="WW8Num2z3"/>
  </w:style>
  <w:style w:type="character" w:styleId="902" w:customStyle="1">
    <w:name w:val="WW8Num2z4"/>
  </w:style>
  <w:style w:type="character" w:styleId="903" w:customStyle="1">
    <w:name w:val="WW8Num2z5"/>
  </w:style>
  <w:style w:type="character" w:styleId="904" w:customStyle="1">
    <w:name w:val="WW8Num2z6"/>
  </w:style>
  <w:style w:type="character" w:styleId="905" w:customStyle="1">
    <w:name w:val="WW8Num2z7"/>
  </w:style>
  <w:style w:type="character" w:styleId="906" w:customStyle="1">
    <w:name w:val="WW8Num2z8"/>
  </w:style>
  <w:style w:type="character" w:styleId="907" w:customStyle="1">
    <w:name w:val="WW8Num3z0"/>
    <w:rPr>
      <w:rFonts w:hint="default"/>
    </w:rPr>
  </w:style>
  <w:style w:type="character" w:styleId="908" w:customStyle="1">
    <w:name w:val="WW8Num3z1"/>
  </w:style>
  <w:style w:type="character" w:styleId="909" w:customStyle="1">
    <w:name w:val="WW8Num3z2"/>
  </w:style>
  <w:style w:type="character" w:styleId="910" w:customStyle="1">
    <w:name w:val="WW8Num3z3"/>
  </w:style>
  <w:style w:type="character" w:styleId="911" w:customStyle="1">
    <w:name w:val="WW8Num3z4"/>
  </w:style>
  <w:style w:type="character" w:styleId="912" w:customStyle="1">
    <w:name w:val="WW8Num3z5"/>
  </w:style>
  <w:style w:type="character" w:styleId="913" w:customStyle="1">
    <w:name w:val="WW8Num3z6"/>
  </w:style>
  <w:style w:type="character" w:styleId="914" w:customStyle="1">
    <w:name w:val="WW8Num3z7"/>
  </w:style>
  <w:style w:type="character" w:styleId="915" w:customStyle="1">
    <w:name w:val="WW8Num3z8"/>
  </w:style>
  <w:style w:type="character" w:styleId="916" w:customStyle="1">
    <w:name w:val="WW8Num4z0"/>
    <w:rPr>
      <w:rFonts w:hint="default"/>
    </w:rPr>
  </w:style>
  <w:style w:type="character" w:styleId="917" w:customStyle="1">
    <w:name w:val="WW8Num5z0"/>
    <w:rPr>
      <w:rFonts w:hint="default"/>
    </w:rPr>
  </w:style>
  <w:style w:type="character" w:styleId="918" w:customStyle="1">
    <w:name w:val="Основной шрифт абзаца1"/>
  </w:style>
  <w:style w:type="character" w:styleId="919" w:customStyle="1">
    <w:name w:val="Текст выноски Знак"/>
    <w:rPr>
      <w:rFonts w:ascii="Tahoma" w:hAnsi="Tahoma" w:cs="Tahoma"/>
      <w:sz w:val="16"/>
      <w:szCs w:val="16"/>
    </w:rPr>
  </w:style>
  <w:style w:type="character" w:styleId="920">
    <w:name w:val="Hyperlink"/>
    <w:rPr>
      <w:color w:val="0000ff"/>
      <w:u w:val="single"/>
    </w:rPr>
  </w:style>
  <w:style w:type="character" w:styleId="921" w:customStyle="1">
    <w:name w:val="Гипертекстовая ссылка"/>
    <w:rPr>
      <w:rFonts w:cs="Times New Roman"/>
      <w:color w:val="106bbe"/>
    </w:rPr>
  </w:style>
  <w:style w:type="character" w:styleId="922" w:customStyle="1">
    <w:name w:val="Схема документа Знак"/>
    <w:rPr>
      <w:rFonts w:ascii="Tahoma" w:hAnsi="Tahoma" w:cs="Tahoma"/>
      <w:sz w:val="16"/>
      <w:szCs w:val="16"/>
    </w:rPr>
  </w:style>
  <w:style w:type="character" w:styleId="923" w:customStyle="1">
    <w:name w:val="Название Знак"/>
    <w:rPr>
      <w:b/>
      <w:bCs/>
      <w:sz w:val="28"/>
      <w:szCs w:val="24"/>
    </w:rPr>
  </w:style>
  <w:style w:type="character" w:styleId="924" w:customStyle="1">
    <w:name w:val="Подзаголовок Знак"/>
    <w:rPr>
      <w:b/>
      <w:sz w:val="28"/>
    </w:rPr>
  </w:style>
  <w:style w:type="character" w:styleId="925" w:customStyle="1">
    <w:name w:val="Текст сноски Знак"/>
    <w:basedOn w:val="918"/>
  </w:style>
  <w:style w:type="character" w:styleId="926" w:customStyle="1">
    <w:name w:val="Символ сноски"/>
    <w:rPr>
      <w:vertAlign w:val="superscript"/>
    </w:rPr>
  </w:style>
  <w:style w:type="character" w:styleId="927">
    <w:name w:val="FollowedHyperlink"/>
    <w:rPr>
      <w:color w:val="800000"/>
      <w:u w:val="single"/>
    </w:rPr>
  </w:style>
  <w:style w:type="paragraph" w:styleId="928" w:customStyle="1">
    <w:name w:val="Заголовок1"/>
    <w:basedOn w:val="713"/>
    <w:next w:val="929"/>
    <w:pPr>
      <w:jc w:val="center"/>
    </w:pPr>
    <w:rPr>
      <w:b/>
      <w:bCs/>
    </w:rPr>
  </w:style>
  <w:style w:type="paragraph" w:styleId="929">
    <w:name w:val="Body Text"/>
    <w:basedOn w:val="713"/>
    <w:link w:val="930"/>
    <w:pPr>
      <w:ind w:right="-483"/>
      <w:jc w:val="both"/>
    </w:pPr>
    <w:rPr>
      <w:b/>
      <w:bCs/>
    </w:rPr>
  </w:style>
  <w:style w:type="character" w:styleId="930" w:customStyle="1">
    <w:name w:val="Основной текст Знак"/>
    <w:basedOn w:val="723"/>
    <w:link w:val="929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931">
    <w:name w:val="List"/>
    <w:basedOn w:val="929"/>
    <w:rPr>
      <w:rFonts w:cs="Droid Sans Devanagari"/>
    </w:rPr>
  </w:style>
  <w:style w:type="paragraph" w:styleId="932">
    <w:name w:val="Caption"/>
    <w:basedOn w:val="713"/>
    <w:link w:val="744"/>
    <w:qFormat/>
    <w:pPr>
      <w:spacing w:before="120" w:after="120"/>
      <w:suppressLineNumbers/>
    </w:pPr>
    <w:rPr>
      <w:rFonts w:cs="Droid Sans Devanagari"/>
      <w:i/>
      <w:iCs/>
    </w:rPr>
  </w:style>
  <w:style w:type="paragraph" w:styleId="933" w:customStyle="1">
    <w:name w:val="Указатель1"/>
    <w:basedOn w:val="713"/>
    <w:pPr>
      <w:suppressLineNumbers/>
    </w:pPr>
    <w:rPr>
      <w:rFonts w:cs="Droid Sans Devanagari"/>
    </w:rPr>
  </w:style>
  <w:style w:type="paragraph" w:styleId="934" w:customStyle="1">
    <w:name w:val="ConsNonformat"/>
    <w:pPr>
      <w:ind w:right="19772"/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zh-CN"/>
    </w:rPr>
  </w:style>
  <w:style w:type="paragraph" w:styleId="935" w:customStyle="1">
    <w:name w:val="ConsPlusTitle"/>
    <w:pPr>
      <w:spacing w:after="0" w:line="240" w:lineRule="auto"/>
      <w:widowControl w:val="off"/>
    </w:pPr>
    <w:rPr>
      <w:rFonts w:ascii="Calibri" w:hAnsi="Calibri" w:eastAsia="Calibri" w:cs="Calibri"/>
      <w:b/>
      <w:bCs/>
      <w:lang w:eastAsia="zh-CN"/>
    </w:rPr>
  </w:style>
  <w:style w:type="paragraph" w:styleId="936" w:customStyle="1">
    <w:name w:val="Знак"/>
    <w:basedOn w:val="713"/>
    <w:rPr>
      <w:rFonts w:ascii="Verdana" w:hAnsi="Verdana" w:cs="Verdana"/>
      <w:sz w:val="20"/>
      <w:szCs w:val="20"/>
      <w:lang w:val="en-US"/>
    </w:rPr>
  </w:style>
  <w:style w:type="paragraph" w:styleId="937">
    <w:name w:val="No Spacing"/>
    <w:qFormat/>
    <w:pPr>
      <w:spacing w:after="0" w:line="240" w:lineRule="auto"/>
    </w:pPr>
    <w:rPr>
      <w:rFonts w:ascii="Times New Roman" w:hAnsi="Times New Roman" w:eastAsia="Calibri" w:cs="Times New Roman"/>
      <w:sz w:val="28"/>
      <w:lang w:eastAsia="zh-CN"/>
    </w:rPr>
  </w:style>
  <w:style w:type="paragraph" w:styleId="938">
    <w:name w:val="Balloon Text"/>
    <w:basedOn w:val="713"/>
    <w:link w:val="939"/>
    <w:rPr>
      <w:rFonts w:ascii="Tahoma" w:hAnsi="Tahoma" w:cs="Tahoma"/>
      <w:sz w:val="16"/>
      <w:szCs w:val="16"/>
    </w:rPr>
  </w:style>
  <w:style w:type="character" w:styleId="939" w:customStyle="1">
    <w:name w:val="Текст выноски Знак1"/>
    <w:basedOn w:val="723"/>
    <w:link w:val="938"/>
    <w:rPr>
      <w:rFonts w:ascii="Tahoma" w:hAnsi="Tahoma" w:eastAsia="Times New Roman" w:cs="Tahoma"/>
      <w:sz w:val="16"/>
      <w:szCs w:val="16"/>
      <w:lang w:eastAsia="ru-RU"/>
    </w:rPr>
  </w:style>
  <w:style w:type="paragraph" w:styleId="940" w:customStyle="1">
    <w:name w:val="ConsTitle"/>
    <w:pPr>
      <w:spacing w:after="0" w:line="240" w:lineRule="auto"/>
      <w:widowControl w:val="off"/>
    </w:pPr>
    <w:rPr>
      <w:rFonts w:ascii="Arial" w:hAnsi="Arial" w:eastAsia="Times New Roman" w:cs="Arial"/>
      <w:b/>
      <w:sz w:val="16"/>
      <w:szCs w:val="20"/>
      <w:lang w:eastAsia="zh-CN"/>
    </w:rPr>
  </w:style>
  <w:style w:type="paragraph" w:styleId="941" w:customStyle="1">
    <w:name w:val="ConsPlusNormal"/>
    <w:pPr>
      <w:ind w:firstLine="720"/>
      <w:spacing w:after="0" w:line="240" w:lineRule="auto"/>
    </w:pPr>
    <w:rPr>
      <w:rFonts w:ascii="Arial" w:hAnsi="Arial" w:eastAsia="Times New Roman" w:cs="Arial"/>
      <w:sz w:val="20"/>
      <w:szCs w:val="20"/>
      <w:lang w:eastAsia="zh-CN"/>
    </w:rPr>
  </w:style>
  <w:style w:type="paragraph" w:styleId="942" w:customStyle="1">
    <w:name w:val="Знак"/>
    <w:basedOn w:val="713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943" w:customStyle="1">
    <w:name w:val="s_1"/>
    <w:basedOn w:val="713"/>
    <w:pPr>
      <w:ind w:firstLine="720"/>
      <w:jc w:val="both"/>
    </w:pPr>
    <w:rPr>
      <w:rFonts w:ascii="Arial" w:hAnsi="Arial" w:cs="Arial"/>
      <w:sz w:val="26"/>
      <w:szCs w:val="26"/>
    </w:rPr>
  </w:style>
  <w:style w:type="paragraph" w:styleId="944" w:customStyle="1">
    <w:name w:val="Схема документа1"/>
    <w:basedOn w:val="713"/>
    <w:rPr>
      <w:rFonts w:ascii="Tahoma" w:hAnsi="Tahoma" w:cs="Tahoma"/>
      <w:sz w:val="16"/>
      <w:szCs w:val="16"/>
    </w:rPr>
  </w:style>
  <w:style w:type="paragraph" w:styleId="945" w:customStyle="1">
    <w:name w:val="Текст в заданном формате"/>
    <w:basedOn w:val="713"/>
    <w:pPr>
      <w:widowControl w:val="off"/>
    </w:pPr>
    <w:rPr>
      <w:rFonts w:ascii="Liberation Mono" w:hAnsi="Liberation Mono" w:eastAsia="Droid Sans Fallback" w:cs="Liberation Mono"/>
      <w:sz w:val="20"/>
      <w:szCs w:val="20"/>
      <w:lang w:eastAsia="zh-CN" w:bidi="hi-IN"/>
    </w:rPr>
  </w:style>
  <w:style w:type="paragraph" w:styleId="946" w:customStyle="1">
    <w:name w:val="Без интервала1"/>
    <w:pPr>
      <w:spacing w:after="0" w:line="240" w:lineRule="auto"/>
    </w:pPr>
    <w:rPr>
      <w:rFonts w:ascii="Calibri" w:hAnsi="Calibri" w:eastAsia="Times New Roman" w:cs="Calibri"/>
      <w:lang w:eastAsia="zh-CN"/>
    </w:rPr>
  </w:style>
  <w:style w:type="paragraph" w:styleId="947">
    <w:name w:val="Subtitle"/>
    <w:basedOn w:val="713"/>
    <w:next w:val="929"/>
    <w:link w:val="948"/>
    <w:qFormat/>
    <w:pPr>
      <w:jc w:val="center"/>
    </w:pPr>
    <w:rPr>
      <w:b/>
      <w:szCs w:val="20"/>
    </w:rPr>
  </w:style>
  <w:style w:type="character" w:styleId="948" w:customStyle="1">
    <w:name w:val="Подзаголовок Знак1"/>
    <w:basedOn w:val="723"/>
    <w:link w:val="947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paragraph" w:styleId="949">
    <w:name w:val="footnote text"/>
    <w:basedOn w:val="713"/>
    <w:link w:val="950"/>
    <w:rPr>
      <w:sz w:val="20"/>
      <w:szCs w:val="20"/>
    </w:rPr>
  </w:style>
  <w:style w:type="character" w:styleId="950" w:customStyle="1">
    <w:name w:val="Текст сноски Знак1"/>
    <w:basedOn w:val="723"/>
    <w:link w:val="94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51">
    <w:name w:val="Header"/>
    <w:basedOn w:val="713"/>
    <w:link w:val="95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52" w:customStyle="1">
    <w:name w:val="Верхний колонтитул Знак"/>
    <w:basedOn w:val="723"/>
    <w:link w:val="951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3">
    <w:name w:val="Footer"/>
    <w:basedOn w:val="713"/>
    <w:link w:val="95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54" w:customStyle="1">
    <w:name w:val="Нижний колонтитул Знак"/>
    <w:basedOn w:val="723"/>
    <w:link w:val="95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55">
    <w:name w:val="page number"/>
    <w:basedOn w:val="723"/>
    <w:uiPriority w:val="99"/>
    <w:semiHidden/>
    <w:unhideWhenUsed/>
  </w:style>
  <w:style w:type="character" w:styleId="956">
    <w:name w:val="annotation reference"/>
    <w:uiPriority w:val="99"/>
    <w:semiHidden/>
    <w:unhideWhenUsed/>
    <w:rPr>
      <w:sz w:val="16"/>
      <w:szCs w:val="16"/>
    </w:rPr>
  </w:style>
  <w:style w:type="paragraph" w:styleId="957">
    <w:name w:val="annotation text"/>
    <w:basedOn w:val="713"/>
    <w:link w:val="958"/>
    <w:uiPriority w:val="99"/>
    <w:unhideWhenUsed/>
    <w:rPr>
      <w:sz w:val="20"/>
      <w:szCs w:val="20"/>
    </w:rPr>
  </w:style>
  <w:style w:type="character" w:styleId="958" w:customStyle="1">
    <w:name w:val="Текст примечания Знак"/>
    <w:basedOn w:val="723"/>
    <w:link w:val="957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59">
    <w:name w:val="annotation subject"/>
    <w:basedOn w:val="957"/>
    <w:next w:val="957"/>
    <w:link w:val="960"/>
    <w:uiPriority w:val="99"/>
    <w:semiHidden/>
    <w:unhideWhenUsed/>
    <w:rPr>
      <w:b/>
      <w:bCs/>
    </w:rPr>
  </w:style>
  <w:style w:type="character" w:styleId="960" w:customStyle="1">
    <w:name w:val="Тема примечания Знак"/>
    <w:basedOn w:val="958"/>
    <w:link w:val="959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961" w:customStyle="1">
    <w:name w:val="highlightsearch"/>
    <w:basedOn w:val="723"/>
  </w:style>
  <w:style w:type="character" w:styleId="962">
    <w:name w:val="footnote reference"/>
    <w:uiPriority w:val="99"/>
    <w:semiHidden/>
    <w:unhideWhenUsed/>
    <w:rPr>
      <w:vertAlign w:val="superscript"/>
    </w:rPr>
  </w:style>
  <w:style w:type="character" w:styleId="963">
    <w:name w:val="Emphasis"/>
    <w:uiPriority w:val="20"/>
    <w:qFormat/>
    <w:rPr>
      <w:i/>
      <w:iCs/>
    </w:rPr>
  </w:style>
  <w:style w:type="paragraph" w:styleId="964">
    <w:name w:val="List Paragraph"/>
    <w:basedOn w:val="713"/>
    <w:uiPriority w:val="34"/>
    <w:qFormat/>
    <w:pPr>
      <w:contextualSpacing/>
      <w:ind w:left="72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965" w:customStyle="1">
    <w:name w:val="Знак Знак Знак Знак Знак Знак Знак Знак Знак Знак Знак Знак"/>
    <w:basedOn w:val="713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966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967">
    <w:name w:val="Table Grid"/>
    <w:basedOn w:val="724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3988DAD3F0D78A474522AB5A4A9F8DF3DF34CCB75B77C89090323777559F34CEC550986B2E9E5BE40162366FD27C25C4EBB6DB4224981C6Bl9IEJ" TargetMode="External"/><Relationship Id="rId13" Type="http://schemas.openxmlformats.org/officeDocument/2006/relationships/hyperlink" Target="https://docs.cntd.ru/document/901821169" TargetMode="External"/><Relationship Id="rId14" Type="http://schemas.openxmlformats.org/officeDocument/2006/relationships/hyperlink" Target="consultantplus://offline/ref=3988DAD3F0D78A474522AB5A4A9F8DF3DF34CCB75B7AC89090323777559F34CEC550986B2E9E58E10962366FD27C25C4EBB6DB4224981C6Bl9IEJ" TargetMode="External"/><Relationship Id="rId15" Type="http://schemas.openxmlformats.org/officeDocument/2006/relationships/hyperlink" Target="consultantplus://offline/ref=3988DAD3F0D78A474522AB5A4A9F8DF3DF34CCB75B7AC89090323777559F34CEC550986B2E9E58E10D62366FD27C25C4EBB6DB4224981C6Bl9IEJ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80D16-97CA-4D83-B6E0-A1AD70F81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sa_burova</cp:lastModifiedBy>
  <cp:revision>6</cp:revision>
  <dcterms:created xsi:type="dcterms:W3CDTF">2025-04-01T09:50:00Z</dcterms:created>
  <dcterms:modified xsi:type="dcterms:W3CDTF">2025-04-18T01:40:56Z</dcterms:modified>
</cp:coreProperties>
</file>