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623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депутатов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623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623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6237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08.04.2025 г.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</w:t>
      </w:r>
      <w:r>
        <w:rPr>
          <w:rFonts w:ascii="Times New Roman" w:hAnsi="Times New Roman"/>
          <w:b/>
          <w:sz w:val="28"/>
          <w:szCs w:val="28"/>
        </w:rPr>
        <w:t xml:space="preserve">ОРЯДОК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709" w:right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из</w:t>
      </w:r>
      <w:r>
        <w:rPr>
          <w:rFonts w:ascii="Times New Roman" w:hAnsi="Times New Roman"/>
          <w:b/>
          <w:sz w:val="28"/>
          <w:szCs w:val="28"/>
        </w:rPr>
        <w:t xml:space="preserve"> бюджета </w:t>
      </w:r>
      <w:r>
        <w:rPr>
          <w:rFonts w:ascii="Times New Roman" w:hAnsi="Times New Roman"/>
          <w:b/>
          <w:sz w:val="28"/>
          <w:szCs w:val="28"/>
        </w:rPr>
        <w:t xml:space="preserve">Новосибирского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 счет средств </w:t>
      </w:r>
      <w:r>
        <w:rPr>
          <w:rFonts w:ascii="Times New Roman" w:hAnsi="Times New Roman"/>
          <w:b/>
          <w:sz w:val="28"/>
          <w:szCs w:val="28"/>
        </w:rPr>
        <w:t xml:space="preserve">бюджета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бюджетам </w:t>
      </w:r>
      <w:r>
        <w:rPr>
          <w:rFonts w:ascii="Times New Roman" w:hAnsi="Times New Roman"/>
          <w:b/>
          <w:sz w:val="28"/>
          <w:szCs w:val="28"/>
        </w:rPr>
        <w:t xml:space="preserve">городских</w:t>
      </w:r>
      <w:r>
        <w:rPr>
          <w:rFonts w:ascii="Times New Roman" w:hAnsi="Times New Roman"/>
          <w:b/>
          <w:sz w:val="28"/>
          <w:szCs w:val="28"/>
        </w:rPr>
        <w:t xml:space="preserve">, сельск</w:t>
      </w:r>
      <w:r>
        <w:rPr>
          <w:rFonts w:ascii="Times New Roman" w:hAnsi="Times New Roman"/>
          <w:b/>
          <w:sz w:val="28"/>
          <w:szCs w:val="28"/>
        </w:rPr>
        <w:t xml:space="preserve">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поселений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Новосибирского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09" w:right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в рамках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систем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ы обращения с отходами производства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709" w:right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потребления в Новосибирской области»,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утвержденной постановлением Правительства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               от 19.01.2015 г. № 10-п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Общие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 из бюджета Новосибирского района Новосибирской области за счет средств бюджета Новосибирской област</w:t>
      </w:r>
      <w:r>
        <w:rPr>
          <w:rFonts w:ascii="Times New Roman" w:hAnsi="Times New Roman"/>
          <w:sz w:val="28"/>
          <w:szCs w:val="28"/>
        </w:rPr>
        <w:t xml:space="preserve">и бюджетам городских, сельских поселений Новосибирского района Новосибирской области в рамках государственной программы Новосибирской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систем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 обращения с отходами производства и потребления в Новосибирской области»,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утвержденной постановлением Правительства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от 19.01.2015 г. № 10-п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Порядок) </w:t>
      </w:r>
      <w:r>
        <w:rPr>
          <w:rFonts w:ascii="Times New Roman" w:hAnsi="Times New Roman"/>
          <w:sz w:val="28"/>
          <w:szCs w:val="28"/>
        </w:rPr>
        <w:t xml:space="preserve">разработан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от 06.10.2003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Бюджетным кодексом Российской Федерации, Уставом Новосибирского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и является 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нормативным правовым актом, устанавливающим порядок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из бюджета Новосибирского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за счет средств бюджета Новосибирской области </w:t>
      </w:r>
      <w:r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 xml:space="preserve">городских, сельских поселений </w:t>
      </w:r>
      <w:r>
        <w:rPr>
          <w:rFonts w:ascii="Times New Roman" w:hAnsi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 xml:space="preserve">городски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, сельски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в целях реализации мероприятий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систем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 обращения с отходами производства и потребления в Новосибирской области»,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утвержденной постановлением Правительства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от 19.01.2015 г. № 10-п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Цели </w:t>
      </w:r>
      <w:r>
        <w:rPr>
          <w:rFonts w:ascii="Times New Roman" w:hAnsi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иных межбюджетных трансфертов</w:t>
      </w:r>
      <w:r>
        <w:rPr>
          <w:b/>
        </w:rPr>
      </w:r>
      <w:r>
        <w:rPr>
          <w:b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2.1.</w:t>
      </w:r>
      <w:r>
        <w:t xml:space="preserve"> 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предоставляются в целях финансирования расходных обязательств, возникающих при выполнении полномочий по вопросам местного значения </w:t>
      </w:r>
      <w:r>
        <w:rPr>
          <w:rFonts w:ascii="Times New Roman" w:hAnsi="Times New Roman"/>
          <w:sz w:val="28"/>
          <w:szCs w:val="28"/>
        </w:rPr>
        <w:t xml:space="preserve">городских, сельских поселений </w:t>
      </w:r>
      <w:r>
        <w:rPr>
          <w:rFonts w:ascii="Times New Roman" w:hAnsi="Times New Roman"/>
          <w:sz w:val="28"/>
          <w:szCs w:val="28"/>
          <w:highlight w:val="white"/>
        </w:rPr>
        <w:t xml:space="preserve">в области 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развития систем</w:t>
      </w: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 xml:space="preserve">ы обращения с отходами производства и потребления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, в том числе: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софинансирование проектов рекультивации земельных участков, загрязненных в результате хозяйственной и иной деятельности;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проектирование и создание инфраструктуры в сфере обращения с ТКО;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оборудование специализированными контейнерами для отработанных ртутьсодержащих ламп, гальванических элементов питания (батареек) мест сбора отдельных видов опасных отходов, образующихся у населения;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приобретение контейнеров (емкостей) для накопления ТКО;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ликвидацию несанкционированных свалок отходов, образовавшихся до 01.01.2019 (за исключением объектов, ликвидируемых в рамках регионального проекта «Чистые города»);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pStyle w:val="871"/>
        <w:numPr>
          <w:ilvl w:val="0"/>
          <w:numId w:val="7"/>
        </w:numPr>
        <w:ind w:left="0" w:right="0" w:firstLine="709"/>
        <w:jc w:val="both"/>
        <w:spacing w:after="0" w:line="240" w:lineRule="auto"/>
        <w:tabs>
          <w:tab w:val="left" w:pos="425" w:leader="none"/>
          <w:tab w:val="left" w:pos="709" w:leader="none"/>
          <w:tab w:val="left" w:pos="992" w:leader="none"/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на приобретение контейнеров для раздельного накопления ТКО на территории Новосибирской области.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 xml:space="preserve">Средства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в соответствии</w:t>
      </w:r>
      <w:r>
        <w:rPr>
          <w:rFonts w:ascii="Times New Roman" w:hAnsi="Times New Roman"/>
          <w:sz w:val="28"/>
          <w:szCs w:val="28"/>
        </w:rPr>
        <w:t xml:space="preserve"> с целями, предусмотренными в пункте </w:t>
      </w:r>
      <w:r>
        <w:rPr>
          <w:rFonts w:ascii="Times New Roman" w:hAnsi="Times New Roman"/>
          <w:sz w:val="28"/>
          <w:szCs w:val="28"/>
        </w:rPr>
        <w:t xml:space="preserve">2.1 Порядка, направляются на 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систем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 обращения с отходами производства и потребления в Новосибирской области»,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утвержденной постановлением Правительства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от 19.01.2015 г. № 10-п</w:t>
      </w:r>
      <w:r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рограмма).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. Условия и порядок предоставлени</w:t>
      </w:r>
      <w:r>
        <w:rPr>
          <w:rFonts w:ascii="Times New Roman" w:hAnsi="Times New Roman"/>
          <w:b/>
          <w:sz w:val="28"/>
          <w:szCs w:val="28"/>
        </w:rPr>
        <w:t xml:space="preserve">я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 на цели, установленные пунктом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.1</w:t>
      </w:r>
      <w:r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 xml:space="preserve">Порядка</w:t>
      </w:r>
      <w:r>
        <w:rPr>
          <w:rFonts w:ascii="Times New Roman" w:hAnsi="Times New Roman"/>
          <w:sz w:val="28"/>
          <w:szCs w:val="28"/>
        </w:rPr>
        <w:t xml:space="preserve">, в пределах бюджетных ассигнований.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Средства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носят целевой характер и не могут быть использованы на цели, не предусмотренные </w:t>
      </w:r>
      <w:r>
        <w:rPr>
          <w:rFonts w:ascii="Times New Roman" w:hAnsi="Times New Roman"/>
          <w:sz w:val="28"/>
          <w:szCs w:val="28"/>
        </w:rPr>
        <w:t xml:space="preserve">настоящим Порядком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 и расходу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тся на следующих условиях: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.1. Наличие заключенного соглашения между администрацией Новосибирского района Новосибирской области (далее – администрация района) и министерством жилищно-коммунального хозяйства и энергетики Новосибирской области о предоставлении </w:t>
      </w:r>
      <w:r>
        <w:rPr>
          <w:rFonts w:ascii="Times New Roman" w:hAnsi="Times New Roman"/>
          <w:sz w:val="28"/>
          <w:szCs w:val="28"/>
        </w:rPr>
        <w:t xml:space="preserve">из областного бюджета Новосибирской области бюджету Новосибирского района Новосибирской области субсидии</w:t>
      </w:r>
      <w:r>
        <w:rPr>
          <w:rFonts w:ascii="Times New Roman" w:hAnsi="Times New Roman"/>
          <w:sz w:val="28"/>
          <w:szCs w:val="28"/>
        </w:rPr>
        <w:t xml:space="preserve"> на реализацию мероприятий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Наличие з</w:t>
      </w:r>
      <w:r>
        <w:rPr>
          <w:rFonts w:ascii="Times New Roman" w:hAnsi="Times New Roman"/>
          <w:sz w:val="28"/>
          <w:szCs w:val="28"/>
        </w:rPr>
        <w:t xml:space="preserve">аключен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соглашения между администрацией района и администрацией </w:t>
      </w:r>
      <w:r>
        <w:rPr>
          <w:rFonts w:ascii="Times New Roman" w:hAnsi="Times New Roman"/>
          <w:sz w:val="28"/>
          <w:szCs w:val="28"/>
        </w:rPr>
        <w:t xml:space="preserve">городского</w:t>
      </w:r>
      <w:r>
        <w:rPr>
          <w:rFonts w:ascii="Times New Roman" w:hAnsi="Times New Roman"/>
          <w:sz w:val="28"/>
          <w:szCs w:val="28"/>
        </w:rPr>
        <w:t xml:space="preserve">, сельск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 котором предусматриваются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направление предоставления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объем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уровень софинансирования расходных обязательств городского, сель</w:t>
      </w:r>
      <w:r>
        <w:rPr>
          <w:rFonts w:ascii="Times New Roman" w:hAnsi="Times New Roman"/>
          <w:sz w:val="28"/>
          <w:szCs w:val="28"/>
        </w:rPr>
        <w:t xml:space="preserve">ского поселения, выраженный в процентах от объема бюджетных ассигнований на исполнение расходных обязательств городского, сельского поселения, предусмотренных в местном бюджете, в целях софинансирования которых предоставляются иные межбюджетные трансферты;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график перечисления (финансирования)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плановые показатели (результаты), характеризующие достижение целей предоставления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форма, а также порядок и сроки предоставления отчетности об исполнении соглашения в части информации </w:t>
      </w:r>
      <w:r>
        <w:rPr>
          <w:rFonts w:ascii="Times New Roman" w:hAnsi="Times New Roman"/>
          <w:sz w:val="28"/>
          <w:szCs w:val="28"/>
        </w:rPr>
        <w:t xml:space="preserve">об использовании </w:t>
      </w:r>
      <w:r>
        <w:rPr>
          <w:rFonts w:ascii="Times New Roman" w:hAnsi="Times New Roman"/>
          <w:sz w:val="28"/>
          <w:szCs w:val="28"/>
        </w:rPr>
        <w:t xml:space="preserve">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достижении целей, показателей, результатов, установленных при предоставлении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порядок и сроки возврата иных межбюджетных трансфертов в случае несоблюдения городск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, сельск</w:t>
      </w:r>
      <w:r>
        <w:rPr>
          <w:rFonts w:ascii="Times New Roman" w:hAnsi="Times New Roman"/>
          <w:sz w:val="28"/>
          <w:szCs w:val="28"/>
        </w:rPr>
        <w:t xml:space="preserve">им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целей и условий, определенных соглашением;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- </w:t>
      </w:r>
      <w:r>
        <w:rPr>
          <w:rFonts w:ascii="Times New Roman" w:hAnsi="Times New Roman"/>
          <w:sz w:val="28"/>
          <w:szCs w:val="28"/>
          <w:highlight w:val="white"/>
        </w:rPr>
        <w:t xml:space="preserve">централизация закупок товаров, работ, услуг с начальной (максимальной) ценой контракта, превышающей 1 млн рублей, в соответствии с постановлением Правительства Новосибирской области от 30.12.2013 </w:t>
      </w:r>
      <w:r>
        <w:rPr>
          <w:rFonts w:ascii="Times New Roman" w:hAnsi="Times New Roman"/>
          <w:sz w:val="28"/>
          <w:szCs w:val="28"/>
          <w:highlight w:val="white"/>
        </w:rPr>
        <w:t xml:space="preserve">г. </w:t>
      </w:r>
      <w:r>
        <w:rPr>
          <w:rFonts w:ascii="Times New Roman" w:hAnsi="Times New Roman"/>
          <w:sz w:val="28"/>
          <w:szCs w:val="28"/>
          <w:highlight w:val="white"/>
        </w:rPr>
        <w:t xml:space="preserve">№ 597-п «О наделении полномочиями государственного казенного учреждения Новосибирской области «Управление контрактной системы»;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предусмотренной нормативными правовыми актами Правительства Новосибирской области централизации закупок товаров, работ, </w:t>
      </w:r>
      <w:r>
        <w:rPr>
          <w:rFonts w:ascii="Times New Roman" w:hAnsi="Times New Roman"/>
          <w:sz w:val="28"/>
          <w:szCs w:val="28"/>
        </w:rPr>
        <w:t xml:space="preserve">услуг для обеспечения муниципальных нужд, финансовое обеспечение которых частично или полностью осуществляется за счет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перечисление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городски</w:t>
      </w:r>
      <w:r>
        <w:rPr>
          <w:rFonts w:ascii="Times New Roman" w:hAnsi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/>
          <w:sz w:val="28"/>
          <w:szCs w:val="28"/>
          <w:highlight w:val="white"/>
        </w:rPr>
        <w:t xml:space="preserve">, сельски</w:t>
      </w:r>
      <w:r>
        <w:rPr>
          <w:rFonts w:ascii="Times New Roman" w:hAnsi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/>
          <w:sz w:val="28"/>
          <w:szCs w:val="28"/>
          <w:highlight w:val="white"/>
        </w:rPr>
        <w:t xml:space="preserve"> поселени</w:t>
      </w:r>
      <w:r>
        <w:rPr>
          <w:rFonts w:ascii="Times New Roman" w:hAnsi="Times New Roman"/>
          <w:sz w:val="28"/>
          <w:szCs w:val="28"/>
          <w:highlight w:val="white"/>
        </w:rPr>
        <w:t xml:space="preserve">ем</w:t>
      </w:r>
      <w:r>
        <w:rPr>
          <w:rFonts w:ascii="Times New Roman" w:hAnsi="Times New Roman"/>
          <w:sz w:val="28"/>
          <w:szCs w:val="28"/>
          <w:highlight w:val="white"/>
        </w:rPr>
        <w:t xml:space="preserve"> средств, источником финансового обеспечения которых явля</w:t>
      </w:r>
      <w:r>
        <w:rPr>
          <w:rFonts w:ascii="Times New Roman" w:hAnsi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/>
          <w:sz w:val="28"/>
          <w:szCs w:val="28"/>
          <w:highlight w:val="white"/>
        </w:rPr>
        <w:t xml:space="preserve">тся иные межбюджетные трансферты, поставщикам товаров, работ и услуг для обеспечения муниципальных нужд только при отсутствии у них недоимки по налогам, сборам, задолженности по иным обязательным платежам в бюджеты бюджетной системы Российской Федерации;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ответственность городского, сельского поселения за нарушение условий предоставления иных межбюджетных трансфертов;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ответственность сторон за нарушение условий соглашения;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основания и порядок внесения изменений в соглашение;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иные положения, установленные администрацией района (при необходимости).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 Наличие в бюджете городского, сельского поселения бюджетных ассигнований на исполнение расходных обязательств, в целях софинансирования которых предоставляются иные межбюджетные трансферты, </w:t>
      </w:r>
      <w:r>
        <w:rPr>
          <w:rFonts w:ascii="Times New Roman" w:hAnsi="Times New Roman"/>
          <w:sz w:val="28"/>
          <w:szCs w:val="28"/>
          <w:highlight w:val="white"/>
        </w:rPr>
        <w:t xml:space="preserve">не менее 1 % от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общей суммы иных межбюджетных трансфертов.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объем бюджетных ассигнований на исполнение расходных обязательств городского, сельского поселения в целях софинансирования которых предоставляются иные межбюджетные трансферты, установлен в местном бюджете ниже уровней, преду</w:t>
      </w:r>
      <w:r>
        <w:rPr>
          <w:rFonts w:ascii="Times New Roman" w:hAnsi="Times New Roman"/>
          <w:sz w:val="28"/>
          <w:szCs w:val="28"/>
        </w:rPr>
        <w:t xml:space="preserve">смотренных муниципальной программой, объем иных межбюджетных трансфертов подлежит сокращению пропорционально снижению соответствующего уровня финансирования исполнения расходных обязательств городского, сельского поселения за счет средств местного бюджета.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Предоставление отчетных документов, подтверждающих исполнение соглашения.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5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Иные межбюджетные трансферты не предоставляются при наличи</w:t>
      </w:r>
      <w:r>
        <w:rPr>
          <w:rFonts w:ascii="Times New Roman" w:hAnsi="Times New Roman"/>
          <w:sz w:val="28"/>
          <w:szCs w:val="28"/>
        </w:rPr>
        <w:t xml:space="preserve">и в местном бюджете неиспользованного остатка иных межбюджетных трансфертов, предоставленных ранее на аналогичные цели, в размере более 5 % от общего объема иных межбюджетных трансфертов, запланированного к предоставлению в соответствующем финансовом году.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01910493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sz w:val="20"/>
            <w:szCs w:val="20"/>
          </w:rPr>
          <w:t xml:space="preserve">3</w:t>
        </w:r>
        <w:r>
          <w:rPr>
            <w:rFonts w:ascii="Times New Roman" w:hAnsi="Times New Roman"/>
            <w:sz w:val="20"/>
            <w:szCs w:val="20"/>
          </w:rPr>
          <w:fldChar w:fldCharType="end"/>
        </w:r>
        <w:r>
          <w:rPr>
            <w:rFonts w:ascii="Times New Roman" w:hAnsi="Times New Roman"/>
            <w:sz w:val="20"/>
            <w:szCs w:val="20"/>
          </w:rPr>
        </w:r>
        <w:r>
          <w:rPr>
            <w:rFonts w:ascii="Times New Roman" w:hAnsi="Times New Roman"/>
            <w:sz w:val="20"/>
            <w:szCs w:val="20"/>
          </w:rPr>
        </w:r>
      </w:p>
    </w:sdtContent>
  </w:sdt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02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66"/>
    <w:next w:val="866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67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66"/>
    <w:next w:val="866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67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67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67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6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67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67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66"/>
    <w:next w:val="866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67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66"/>
    <w:next w:val="866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67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7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7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7"/>
    <w:link w:val="873"/>
    <w:uiPriority w:val="99"/>
  </w:style>
  <w:style w:type="character" w:styleId="721">
    <w:name w:val="Footer Char"/>
    <w:basedOn w:val="867"/>
    <w:link w:val="875"/>
    <w:uiPriority w:val="99"/>
  </w:style>
  <w:style w:type="paragraph" w:styleId="722">
    <w:name w:val="Caption"/>
    <w:basedOn w:val="866"/>
    <w:next w:val="866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5"/>
    <w:uiPriority w:val="99"/>
  </w:style>
  <w:style w:type="table" w:styleId="724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3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4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5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6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7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8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7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8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9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0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1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2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7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7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pPr>
      <w:spacing w:after="200" w:line="276" w:lineRule="auto"/>
    </w:pPr>
    <w:rPr>
      <w:rFonts w:ascii="Calibri" w:hAnsi="Calibri" w:eastAsia="Times New Roman" w:cs="Times New Roman"/>
      <w:lang w:eastAsia="ru-RU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No Spacing"/>
    <w:uiPriority w:val="1"/>
    <w:qFormat/>
    <w:pPr>
      <w:spacing w:after="0" w:line="240" w:lineRule="auto"/>
    </w:pPr>
  </w:style>
  <w:style w:type="paragraph" w:styleId="871">
    <w:name w:val="List Paragraph"/>
    <w:basedOn w:val="866"/>
    <w:uiPriority w:val="34"/>
    <w:qFormat/>
    <w:pPr>
      <w:contextualSpacing/>
      <w:ind w:left="720"/>
    </w:pPr>
  </w:style>
  <w:style w:type="table" w:styleId="872">
    <w:name w:val="Table Grid"/>
    <w:basedOn w:val="86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3">
    <w:name w:val="Header"/>
    <w:basedOn w:val="866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867"/>
    <w:link w:val="873"/>
    <w:uiPriority w:val="99"/>
    <w:rPr>
      <w:rFonts w:ascii="Calibri" w:hAnsi="Calibri" w:eastAsia="Times New Roman" w:cs="Times New Roman"/>
      <w:lang w:eastAsia="ru-RU"/>
    </w:rPr>
  </w:style>
  <w:style w:type="paragraph" w:styleId="875">
    <w:name w:val="Footer"/>
    <w:basedOn w:val="866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867"/>
    <w:link w:val="875"/>
    <w:uiPriority w:val="99"/>
    <w:rPr>
      <w:rFonts w:ascii="Calibri" w:hAnsi="Calibri" w:eastAsia="Times New Roman" w:cs="Times New Roman"/>
      <w:lang w:eastAsia="ru-RU"/>
    </w:rPr>
  </w:style>
  <w:style w:type="character" w:styleId="877">
    <w:name w:val="Hyperlink"/>
    <w:basedOn w:val="867"/>
    <w:uiPriority w:val="99"/>
    <w:unhideWhenUsed/>
    <w:rPr>
      <w:color w:val="0563c1" w:themeColor="hyperlink"/>
      <w:u w:val="single"/>
    </w:rPr>
  </w:style>
  <w:style w:type="paragraph" w:styleId="878">
    <w:name w:val="Balloon Text"/>
    <w:basedOn w:val="866"/>
    <w:link w:val="87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9" w:customStyle="1">
    <w:name w:val="Текст выноски Знак"/>
    <w:basedOn w:val="867"/>
    <w:link w:val="87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80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eastAsia="Times New Roman" w:cs="Calibri" w:asciiTheme="minorHAnsi" w:hAnsiTheme="minorHAns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5397E-E4DC-468F-8685-5FF8A147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Каменская</dc:creator>
  <cp:keywords/>
  <dc:description/>
  <cp:lastModifiedBy>sa_burova</cp:lastModifiedBy>
  <cp:revision>126</cp:revision>
  <dcterms:created xsi:type="dcterms:W3CDTF">2020-02-12T03:49:00Z</dcterms:created>
  <dcterms:modified xsi:type="dcterms:W3CDTF">2025-04-08T04:48:41Z</dcterms:modified>
</cp:coreProperties>
</file>