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widowControl w:val="off"/>
        <w:tabs>
          <w:tab w:val="left" w:pos="9645" w:leader="none"/>
          <w:tab w:val="right" w:pos="10416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СОВЕТ ДЕПУТАТОВ НОВОСИБИРСКОГО РАЙОНА</w:t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83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pStyle w:val="83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четвертого созыва</w:t>
      </w:r>
      <w:r>
        <w:rPr>
          <w:b/>
          <w:bCs/>
          <w:color w:val="000000"/>
          <w:sz w:val="28"/>
          <w:szCs w:val="28"/>
        </w:rPr>
      </w:r>
    </w:p>
    <w:p>
      <w:pPr>
        <w:pStyle w:val="83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keepNext w:val="0"/>
        <w:widowControl w:val="off"/>
        <w:rPr>
          <w:rFonts w:cs="Tms Rmn"/>
          <w:bCs/>
          <w:color w:val="000000"/>
          <w:sz w:val="24"/>
          <w:szCs w:val="24"/>
        </w:rPr>
      </w:pPr>
      <w:r>
        <w:rPr>
          <w:bCs/>
          <w:color w:val="000000"/>
          <w:sz w:val="32"/>
          <w:szCs w:val="32"/>
        </w:rPr>
        <w:t xml:space="preserve">РЕШЕНИЕ</w:t>
      </w:r>
      <w:r>
        <w:rPr>
          <w:rFonts w:cs="Tms Rmn"/>
          <w:bCs/>
          <w:color w:val="000000"/>
          <w:sz w:val="24"/>
          <w:szCs w:val="24"/>
        </w:rPr>
      </w:r>
      <w:r>
        <w:rPr>
          <w:rFonts w:cs="Tms Rmn"/>
          <w:bCs/>
          <w:color w:val="000000"/>
          <w:sz w:val="24"/>
          <w:szCs w:val="24"/>
        </w:rPr>
      </w:r>
    </w:p>
    <w:p>
      <w:pPr>
        <w:pStyle w:val="836"/>
        <w:jc w:val="center"/>
        <w:widowControl w:val="off"/>
        <w:rPr>
          <w:rFonts w:cs="Tms Rmn"/>
          <w:b/>
          <w:bCs/>
          <w:color w:val="000000"/>
          <w:sz w:val="28"/>
          <w:szCs w:val="28"/>
        </w:rPr>
      </w:pPr>
      <w:r>
        <w:rPr>
          <w:rFonts w:cs="Tms Rmn"/>
          <w:b/>
          <w:bCs/>
          <w:color w:val="000000"/>
          <w:sz w:val="28"/>
          <w:szCs w:val="28"/>
        </w:rPr>
        <w:t xml:space="preserve">(тридцать вторая </w:t>
      </w:r>
      <w:r>
        <w:rPr>
          <w:rFonts w:cs="Tms Rmn"/>
          <w:b/>
          <w:bCs/>
          <w:color w:val="000000"/>
          <w:sz w:val="28"/>
          <w:szCs w:val="28"/>
        </w:rPr>
        <w:t xml:space="preserve">сессия)</w:t>
      </w:r>
      <w:r>
        <w:rPr>
          <w:rFonts w:cs="Tms Rmn"/>
          <w:b/>
          <w:bCs/>
          <w:color w:val="000000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3"/>
        <w:gridCol w:w="3400"/>
        <w:gridCol w:w="336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3" w:type="dxa"/>
            <w:vAlign w:val="top"/>
            <w:textDirection w:val="lrTb"/>
            <w:noWrap w:val="false"/>
          </w:tcPr>
          <w:p>
            <w:pPr>
              <w:pStyle w:val="836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т «19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2024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tabs>
                <w:tab w:val="left" w:pos="6075" w:leader="none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г.Новосибирск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36"/>
              <w:tabs>
                <w:tab w:val="left" w:pos="2050" w:leader="none"/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5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6"/>
        <w:jc w:val="center"/>
        <w:widowControl w:val="off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удовлетворении протеста прокурора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ind w:left="10" w:firstLine="710"/>
        <w:jc w:val="both"/>
        <w:widowControl w:val="off"/>
        <w:tabs>
          <w:tab w:val="left" w:pos="2179" w:leader="underscore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ind w:left="10" w:firstLine="710"/>
        <w:jc w:val="both"/>
        <w:widowControl w:val="off"/>
        <w:tabs>
          <w:tab w:val="left" w:pos="2179" w:leader="underscore"/>
        </w:tabs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статьями </w:t>
      </w:r>
      <w:r>
        <w:rPr>
          <w:color w:val="000000"/>
          <w:spacing w:val="-1"/>
          <w:sz w:val="28"/>
          <w:szCs w:val="28"/>
        </w:rPr>
        <w:t xml:space="preserve">4, 35 </w:t>
      </w:r>
      <w:r>
        <w:rPr>
          <w:color w:val="000000"/>
          <w:spacing w:val="-1"/>
          <w:sz w:val="28"/>
          <w:szCs w:val="28"/>
        </w:rPr>
        <w:t xml:space="preserve">Федерального закона от 06.1</w:t>
      </w:r>
      <w:r>
        <w:rPr>
          <w:color w:val="000000"/>
          <w:spacing w:val="-1"/>
          <w:sz w:val="28"/>
          <w:szCs w:val="28"/>
        </w:rPr>
        <w:t xml:space="preserve">0.2003 г.     № 131-ФЗ «Об </w:t>
      </w:r>
      <w:r>
        <w:rPr>
          <w:color w:val="000000"/>
          <w:spacing w:val="-1"/>
          <w:sz w:val="28"/>
          <w:szCs w:val="28"/>
        </w:rPr>
        <w:t xml:space="preserve">общих принципах организации местного самоуправления в</w:t>
      </w:r>
      <w:r>
        <w:rPr>
          <w:color w:val="000000"/>
          <w:spacing w:val="-1"/>
          <w:sz w:val="28"/>
          <w:szCs w:val="28"/>
        </w:rPr>
        <w:t xml:space="preserve"> </w:t>
      </w:r>
      <w:r>
        <w:rPr>
          <w:color w:val="000000"/>
          <w:spacing w:val="-1"/>
          <w:sz w:val="28"/>
          <w:szCs w:val="28"/>
        </w:rPr>
        <w:t xml:space="preserve">Российской </w:t>
      </w:r>
      <w:r>
        <w:rPr>
          <w:color w:val="000000"/>
          <w:spacing w:val="-1"/>
          <w:sz w:val="28"/>
          <w:szCs w:val="28"/>
        </w:rPr>
        <w:t xml:space="preserve">Федерации» Совет депутатов Новосибирского района Новосибирской области</w:t>
      </w:r>
      <w:r>
        <w:rPr>
          <w:color w:val="000000"/>
          <w:spacing w:val="-1"/>
          <w:sz w:val="28"/>
          <w:szCs w:val="28"/>
        </w:rPr>
        <w:t xml:space="preserve">, руководствуясь статьями 17, 18 Устава Новосибирского </w:t>
      </w:r>
      <w:r>
        <w:rPr>
          <w:color w:val="000000"/>
          <w:spacing w:val="-1"/>
          <w:sz w:val="28"/>
          <w:szCs w:val="28"/>
        </w:rPr>
        <w:t xml:space="preserve">муниципального </w:t>
      </w:r>
      <w:r>
        <w:rPr>
          <w:color w:val="000000"/>
          <w:spacing w:val="-1"/>
          <w:sz w:val="28"/>
          <w:szCs w:val="28"/>
        </w:rPr>
        <w:t xml:space="preserve">района Новосибирской обл</w:t>
      </w:r>
      <w:r>
        <w:rPr>
          <w:color w:val="000000"/>
          <w:spacing w:val="-1"/>
          <w:sz w:val="28"/>
          <w:szCs w:val="28"/>
        </w:rPr>
        <w:t xml:space="preserve">асти,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стать</w:t>
      </w:r>
      <w:r>
        <w:rPr>
          <w:color w:val="000000"/>
          <w:spacing w:val="-1"/>
          <w:sz w:val="28"/>
          <w:szCs w:val="28"/>
        </w:rPr>
        <w:t xml:space="preserve">ями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30, 61</w:t>
      </w:r>
      <w:r>
        <w:rPr>
          <w:color w:val="000000"/>
          <w:spacing w:val="-1"/>
          <w:sz w:val="28"/>
          <w:szCs w:val="28"/>
        </w:rPr>
        <w:t xml:space="preserve"> Регламента Совета депутатов Новосибирского района Новосибирской области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Со</w:t>
      </w:r>
      <w:r>
        <w:rPr>
          <w:color w:val="000000"/>
          <w:spacing w:val="-1"/>
          <w:sz w:val="28"/>
          <w:szCs w:val="28"/>
        </w:rPr>
        <w:t xml:space="preserve">вет депутатов Новосибирского района Новосибирской области</w:t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pStyle w:val="836"/>
        <w:ind w:firstLine="680"/>
        <w:jc w:val="both"/>
        <w:tabs>
          <w:tab w:val="left" w:pos="2179" w:leader="underscore"/>
        </w:tabs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РЕШИЛ:</w:t>
      </w: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Протест </w:t>
      </w:r>
      <w:r>
        <w:rPr>
          <w:color w:val="000000"/>
          <w:spacing w:val="-1"/>
          <w:sz w:val="28"/>
          <w:szCs w:val="28"/>
        </w:rPr>
        <w:t xml:space="preserve">исполняющего обязанности прокурора Новосибирского района Новосибирской области Демидова Е.И.</w:t>
      </w:r>
      <w:r>
        <w:rPr>
          <w:color w:val="000000"/>
          <w:spacing w:val="-1"/>
          <w:sz w:val="28"/>
          <w:szCs w:val="28"/>
        </w:rPr>
        <w:t xml:space="preserve"> от 19.08.2024 № 2-30-2024</w:t>
      </w:r>
      <w:r>
        <w:rPr>
          <w:color w:val="000000"/>
          <w:spacing w:val="-1"/>
          <w:sz w:val="28"/>
          <w:szCs w:val="28"/>
        </w:rPr>
        <w:t xml:space="preserve"> на пункты 1, 2, 3, 5, 6, 7 приложения № 1 Положению о муниципальном земельном контроле в границах Новосибирского района Новосибирской области, утвержденному решением </w:t>
      </w:r>
      <w:r>
        <w:rPr>
          <w:color w:val="000000"/>
          <w:spacing w:val="-1"/>
          <w:sz w:val="28"/>
          <w:szCs w:val="28"/>
        </w:rPr>
        <w:t xml:space="preserve">Совета депутатов Новосибирского района Новосибирской обла</w:t>
      </w:r>
      <w:r>
        <w:rPr>
          <w:color w:val="000000"/>
          <w:spacing w:val="-1"/>
          <w:sz w:val="28"/>
          <w:szCs w:val="28"/>
        </w:rPr>
        <w:t xml:space="preserve">сти от 11.11.2021 № 9</w:t>
      </w:r>
      <w:r>
        <w:rPr>
          <w:color w:val="000000"/>
          <w:spacing w:val="-1"/>
          <w:sz w:val="28"/>
          <w:szCs w:val="28"/>
        </w:rPr>
        <w:t xml:space="preserve">, удовлетворить.</w:t>
      </w: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color w:val="000000"/>
          <w:spacing w:val="-1"/>
          <w:sz w:val="28"/>
          <w:szCs w:val="28"/>
        </w:rPr>
        <w:t xml:space="preserve">Копию настоящего решения направить прокурору Новосибирского района Новосибирской области для сведения.</w:t>
      </w: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Р</w:t>
      </w:r>
      <w:r>
        <w:rPr>
          <w:color w:val="000000"/>
          <w:spacing w:val="-1"/>
          <w:sz w:val="28"/>
          <w:szCs w:val="28"/>
        </w:rPr>
        <w:t xml:space="preserve">ешени</w:t>
      </w:r>
      <w:r>
        <w:rPr>
          <w:color w:val="000000"/>
          <w:spacing w:val="-1"/>
          <w:sz w:val="28"/>
          <w:szCs w:val="28"/>
        </w:rPr>
        <w:t xml:space="preserve">е вступает в силу</w:t>
      </w:r>
      <w:r>
        <w:rPr>
          <w:color w:val="000000"/>
          <w:spacing w:val="-1"/>
          <w:sz w:val="28"/>
          <w:szCs w:val="28"/>
        </w:rPr>
        <w:t xml:space="preserve"> с момента его принятия. </w:t>
      </w: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spacing w:before="10"/>
        <w:tabs>
          <w:tab w:val="left" w:pos="701" w:leader="none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spacing w:before="10"/>
        <w:tabs>
          <w:tab w:val="left" w:pos="701" w:leader="none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</w:r>
    </w:p>
    <w:p>
      <w:pPr>
        <w:pStyle w:val="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С.А.Зубков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00603000000000000"/>
  </w:font>
  <w:font w:name="Tahoma">
    <w:panose1 w:val="020B0604030504040204"/>
  </w:font>
  <w:font w:name="Mangal">
    <w:panose1 w:val="02040503050203030202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38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zh-CN" w:bidi="ar-SA"/>
    </w:rPr>
  </w:style>
  <w:style w:type="paragraph" w:styleId="837">
    <w:name w:val="Заголовок 1"/>
    <w:basedOn w:val="836"/>
    <w:next w:val="836"/>
    <w:link w:val="836"/>
    <w:qFormat/>
    <w:pPr>
      <w:numPr>
        <w:ilvl w:val="0"/>
        <w:numId w:val="1"/>
      </w:numPr>
      <w:jc w:val="center"/>
      <w:keepNext/>
      <w:outlineLvl w:val="0"/>
    </w:pPr>
    <w:rPr>
      <w:b/>
      <w:sz w:val="36"/>
      <w:szCs w:val="20"/>
    </w:rPr>
  </w:style>
  <w:style w:type="paragraph" w:styleId="838">
    <w:name w:val="Заголовок 2"/>
    <w:basedOn w:val="860"/>
    <w:next w:val="856"/>
    <w:link w:val="83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839">
    <w:name w:val="Основной шрифт абзаца"/>
    <w:next w:val="839"/>
    <w:link w:val="836"/>
    <w:uiPriority w:val="1"/>
    <w:semiHidden/>
    <w:unhideWhenUsed/>
  </w:style>
  <w:style w:type="table" w:styleId="840">
    <w:name w:val="Обычная таблица"/>
    <w:next w:val="840"/>
    <w:link w:val="836"/>
    <w:uiPriority w:val="99"/>
    <w:semiHidden/>
    <w:unhideWhenUsed/>
    <w:tblPr/>
  </w:style>
  <w:style w:type="numbering" w:styleId="841">
    <w:name w:val="Нет списка"/>
    <w:next w:val="841"/>
    <w:link w:val="836"/>
    <w:uiPriority w:val="99"/>
    <w:semiHidden/>
    <w:unhideWhenUsed/>
  </w:style>
  <w:style w:type="character" w:styleId="842">
    <w:name w:val="WW8Num1z0"/>
    <w:next w:val="842"/>
    <w:link w:val="836"/>
  </w:style>
  <w:style w:type="character" w:styleId="843">
    <w:name w:val="WW8Num1z1"/>
    <w:next w:val="843"/>
    <w:link w:val="836"/>
  </w:style>
  <w:style w:type="character" w:styleId="844">
    <w:name w:val="WW8Num1z2"/>
    <w:next w:val="844"/>
    <w:link w:val="836"/>
  </w:style>
  <w:style w:type="character" w:styleId="845">
    <w:name w:val="WW8Num1z3"/>
    <w:next w:val="845"/>
    <w:link w:val="836"/>
  </w:style>
  <w:style w:type="character" w:styleId="846">
    <w:name w:val="WW8Num1z4"/>
    <w:next w:val="846"/>
    <w:link w:val="836"/>
  </w:style>
  <w:style w:type="character" w:styleId="847">
    <w:name w:val="WW8Num1z5"/>
    <w:next w:val="847"/>
    <w:link w:val="836"/>
  </w:style>
  <w:style w:type="character" w:styleId="848">
    <w:name w:val="WW8Num1z6"/>
    <w:next w:val="848"/>
    <w:link w:val="836"/>
  </w:style>
  <w:style w:type="character" w:styleId="849">
    <w:name w:val="WW8Num1z7"/>
    <w:next w:val="849"/>
    <w:link w:val="836"/>
  </w:style>
  <w:style w:type="character" w:styleId="850">
    <w:name w:val="WW8Num1z8"/>
    <w:next w:val="850"/>
    <w:link w:val="836"/>
  </w:style>
  <w:style w:type="character" w:styleId="851">
    <w:name w:val="WW8Num2z0"/>
    <w:next w:val="851"/>
    <w:link w:val="836"/>
    <w:rPr>
      <w:sz w:val="28"/>
      <w:szCs w:val="28"/>
      <w:lang w:val="en-US"/>
    </w:rPr>
  </w:style>
  <w:style w:type="character" w:styleId="852">
    <w:name w:val="Основной шрифт абзаца2"/>
    <w:next w:val="852"/>
    <w:link w:val="836"/>
  </w:style>
  <w:style w:type="character" w:styleId="853">
    <w:name w:val="Основной шрифт абзаца1"/>
    <w:next w:val="853"/>
    <w:link w:val="836"/>
  </w:style>
  <w:style w:type="character" w:styleId="854">
    <w:name w:val="Текст выноски Знак"/>
    <w:next w:val="854"/>
    <w:link w:val="836"/>
    <w:rPr>
      <w:rFonts w:ascii="Segoe UI" w:hAnsi="Segoe UI" w:cs="Segoe UI"/>
      <w:sz w:val="18"/>
      <w:szCs w:val="18"/>
      <w:lang w:eastAsia="zh-CN"/>
    </w:rPr>
  </w:style>
  <w:style w:type="paragraph" w:styleId="855">
    <w:name w:val="Заголовок"/>
    <w:basedOn w:val="836"/>
    <w:next w:val="856"/>
    <w:link w:val="83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6">
    <w:name w:val="Основной текст"/>
    <w:basedOn w:val="836"/>
    <w:next w:val="856"/>
    <w:link w:val="836"/>
    <w:pPr>
      <w:spacing w:before="0" w:after="140" w:line="288" w:lineRule="auto"/>
    </w:pPr>
  </w:style>
  <w:style w:type="paragraph" w:styleId="857">
    <w:name w:val="Список"/>
    <w:basedOn w:val="856"/>
    <w:next w:val="857"/>
    <w:link w:val="836"/>
    <w:rPr>
      <w:rFonts w:cs="Mangal"/>
    </w:rPr>
  </w:style>
  <w:style w:type="paragraph" w:styleId="858">
    <w:name w:val="Название объекта"/>
    <w:basedOn w:val="836"/>
    <w:next w:val="858"/>
    <w:link w:val="83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9">
    <w:name w:val="Указатель2"/>
    <w:basedOn w:val="836"/>
    <w:next w:val="859"/>
    <w:link w:val="836"/>
    <w:pPr>
      <w:suppressLineNumbers/>
    </w:pPr>
    <w:rPr>
      <w:rFonts w:cs="Arial"/>
    </w:rPr>
  </w:style>
  <w:style w:type="paragraph" w:styleId="860">
    <w:name w:val="Заголовок1"/>
    <w:basedOn w:val="836"/>
    <w:next w:val="856"/>
    <w:link w:val="83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61">
    <w:name w:val="Название объекта1"/>
    <w:basedOn w:val="836"/>
    <w:next w:val="861"/>
    <w:link w:val="83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2">
    <w:name w:val="Указатель1"/>
    <w:basedOn w:val="836"/>
    <w:next w:val="862"/>
    <w:link w:val="836"/>
    <w:pPr>
      <w:suppressLineNumbers/>
    </w:pPr>
    <w:rPr>
      <w:rFonts w:cs="Mangal"/>
    </w:rPr>
  </w:style>
  <w:style w:type="paragraph" w:styleId="863">
    <w:name w:val="Схема документа1"/>
    <w:basedOn w:val="836"/>
    <w:next w:val="863"/>
    <w:link w:val="836"/>
    <w:pPr>
      <w:shd w:val="clear" w:color="auto" w:fill="000080"/>
    </w:pPr>
    <w:rPr>
      <w:rFonts w:ascii="Tahoma" w:hAnsi="Tahoma" w:cs="Tahoma"/>
    </w:rPr>
  </w:style>
  <w:style w:type="paragraph" w:styleId="864">
    <w:name w:val="Содержимое таблицы"/>
    <w:basedOn w:val="836"/>
    <w:next w:val="864"/>
    <w:link w:val="836"/>
    <w:pPr>
      <w:suppressLineNumbers/>
    </w:pPr>
  </w:style>
  <w:style w:type="paragraph" w:styleId="865">
    <w:name w:val="Заголовок таблицы"/>
    <w:basedOn w:val="864"/>
    <w:next w:val="865"/>
    <w:link w:val="836"/>
    <w:pPr>
      <w:jc w:val="center"/>
      <w:suppressLineNumbers/>
    </w:pPr>
    <w:rPr>
      <w:b/>
      <w:bCs/>
    </w:rPr>
  </w:style>
  <w:style w:type="paragraph" w:styleId="866">
    <w:name w:val="Текст выноски"/>
    <w:basedOn w:val="836"/>
    <w:next w:val="866"/>
    <w:link w:val="836"/>
    <w:rPr>
      <w:rFonts w:ascii="Segoe UI" w:hAnsi="Segoe UI" w:cs="Segoe UI"/>
      <w:sz w:val="18"/>
      <w:szCs w:val="18"/>
    </w:rPr>
  </w:style>
  <w:style w:type="paragraph" w:styleId="867">
    <w:name w:val="Верхний колонтитул"/>
    <w:basedOn w:val="836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  <w:lang w:eastAsia="zh-CN"/>
    </w:rPr>
  </w:style>
  <w:style w:type="paragraph" w:styleId="869">
    <w:name w:val="Нижний колонтитул"/>
    <w:basedOn w:val="836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uiPriority w:val="99"/>
    <w:rPr>
      <w:sz w:val="24"/>
      <w:szCs w:val="24"/>
      <w:lang w:eastAsia="zh-CN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revision>7</cp:revision>
  <dcterms:created xsi:type="dcterms:W3CDTF">2022-02-22T07:25:00Z</dcterms:created>
  <dcterms:modified xsi:type="dcterms:W3CDTF">2024-09-20T04:21:20Z</dcterms:modified>
  <cp:version>1048576</cp:version>
</cp:coreProperties>
</file>