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3384550</wp:posOffset>
                </wp:positionH>
                <wp:positionV relativeFrom="page">
                  <wp:posOffset>790574</wp:posOffset>
                </wp:positionV>
                <wp:extent cx="2821305" cy="148844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821305" cy="148844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000000">
                            <w:pPr>
                              <w:pStyle w:val="Style_1"/>
                              <w:ind/>
                              <w:outlineLvl w:val="0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ПРИЛОЖЕНИЕ</w:t>
                            </w:r>
                          </w:p>
                          <w:p w14:paraId="03000000">
                            <w:pPr>
                              <w:pStyle w:val="Style_1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к решению Совета депутатов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Новосибирского района Новосибирской области</w:t>
                            </w:r>
                          </w:p>
                          <w:p w14:paraId="04000000">
                            <w:pPr>
                              <w:pStyle w:val="Style_1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от 08.06.2023 г.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№ 6</w:t>
                            </w:r>
                          </w:p>
                          <w:p w14:paraId="05000000"/>
                        </w:txbxContent>
                      </wps:txbx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6000000">
      <w:pPr>
        <w:pStyle w:val="Style_2"/>
        <w:ind/>
        <w:jc w:val="center"/>
        <w:rPr>
          <w:rFonts w:ascii="Times New Roman" w:hAnsi="Times New Roman"/>
          <w:sz w:val="28"/>
        </w:rPr>
      </w:pPr>
      <w:bookmarkStart w:id="1" w:name="P34"/>
      <w:bookmarkEnd w:id="1"/>
    </w:p>
    <w:p w14:paraId="07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8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9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A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B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C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D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E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0F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14:paraId="10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ОПРЕДЕЛЕНИЯ ЦЕНЫ ЗЕМЕЛЬНЫХ УЧАСТКОВ,</w:t>
      </w:r>
    </w:p>
    <w:p w14:paraId="11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НАХОДЯЩИХСЯ</w:t>
      </w:r>
      <w:r>
        <w:rPr>
          <w:rFonts w:ascii="Times New Roman" w:hAnsi="Times New Roman"/>
          <w:sz w:val="28"/>
        </w:rPr>
        <w:t xml:space="preserve"> В МУНИЦИПАЛЬНОЙ СОБСТВЕННОСТИ </w:t>
      </w:r>
    </w:p>
    <w:p w14:paraId="12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НОВОСИБИРСКОГО РАЙОНА НОВОСИБИРСКОЙ ОБЛАСТИ, </w:t>
      </w:r>
    </w:p>
    <w:p w14:paraId="13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ЗАКЛЮЧЕНИИ ДОГОВОРА</w:t>
      </w:r>
    </w:p>
    <w:p w14:paraId="14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КУПЛИ-ПРОДАЖИ ЗЕМЕЛЬНОГО УЧАСТКА </w:t>
      </w:r>
    </w:p>
    <w:p w14:paraId="15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 ПРОВЕДЕНИЯ ТОРГОВ</w:t>
      </w:r>
    </w:p>
    <w:p w14:paraId="16000000">
      <w:pPr>
        <w:pStyle w:val="Style_2"/>
        <w:ind/>
        <w:jc w:val="center"/>
        <w:rPr>
          <w:rFonts w:ascii="Times New Roman" w:hAnsi="Times New Roman"/>
          <w:sz w:val="28"/>
        </w:rPr>
      </w:pPr>
    </w:p>
    <w:p w14:paraId="17000000">
      <w:pPr>
        <w:pStyle w:val="Style_2"/>
        <w:ind w:firstLine="708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 Настоящий П</w:t>
      </w:r>
      <w:r>
        <w:rPr>
          <w:rFonts w:ascii="Times New Roman" w:hAnsi="Times New Roman"/>
          <w:b w:val="0"/>
          <w:sz w:val="28"/>
        </w:rPr>
        <w:t>орядок определения цены земельных участков, находящихся</w:t>
      </w:r>
      <w:r>
        <w:rPr>
          <w:rFonts w:ascii="Times New Roman" w:hAnsi="Times New Roman"/>
          <w:b w:val="0"/>
          <w:sz w:val="28"/>
        </w:rPr>
        <w:t xml:space="preserve"> в муниципальной собственности Н</w:t>
      </w:r>
      <w:r>
        <w:rPr>
          <w:rFonts w:ascii="Times New Roman" w:hAnsi="Times New Roman"/>
          <w:b w:val="0"/>
          <w:sz w:val="28"/>
        </w:rPr>
        <w:t xml:space="preserve">овосибирского района </w:t>
      </w:r>
      <w:r>
        <w:rPr>
          <w:rFonts w:ascii="Times New Roman" w:hAnsi="Times New Roman"/>
          <w:b w:val="0"/>
          <w:sz w:val="28"/>
        </w:rPr>
        <w:t>Н</w:t>
      </w:r>
      <w:r>
        <w:rPr>
          <w:rFonts w:ascii="Times New Roman" w:hAnsi="Times New Roman"/>
          <w:b w:val="0"/>
          <w:sz w:val="28"/>
        </w:rPr>
        <w:t xml:space="preserve">овосибирской области, </w:t>
      </w:r>
    </w:p>
    <w:p w14:paraId="18000000">
      <w:pPr>
        <w:pStyle w:val="Style_2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при заключении договора купли-продажи земельного участка без проведения торгов</w:t>
      </w:r>
      <w:r>
        <w:rPr>
          <w:rFonts w:ascii="Times New Roman" w:hAnsi="Times New Roman"/>
          <w:b w:val="0"/>
          <w:sz w:val="28"/>
        </w:rPr>
        <w:t xml:space="preserve"> (далее – Порядок)</w:t>
      </w:r>
      <w:r>
        <w:rPr>
          <w:rFonts w:ascii="Times New Roman" w:hAnsi="Times New Roman"/>
          <w:b w:val="0"/>
          <w:sz w:val="28"/>
        </w:rPr>
        <w:t xml:space="preserve"> разработан в целях определения цены земельных участков, находящихся в муниципальной собственности новосибирского района новосибирской области (далее - земельные участки), при заключении договора купли-продажи земельного участка без проведения торгов.</w:t>
      </w:r>
    </w:p>
    <w:p w14:paraId="19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Цена земельного участка определяется в размере его кадастровой стоимости, за исключением случаев, предусмотренных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"P47"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пунктами 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"P69"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Порядка.</w:t>
      </w:r>
    </w:p>
    <w:p w14:paraId="1A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bookmarkStart w:id="2" w:name="P47"/>
      <w:bookmarkEnd w:id="2"/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Цена земельного участка определяется в размере 50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 его кадастровой стоимости при продаже земельных участков, образованных в результате раздела земельного участка, предоставленного юридическому лицу для ведения дачного хозяйства и относящегося к имуществу общего пользования, указанному юридическому лицу.</w:t>
      </w:r>
    </w:p>
    <w:p w14:paraId="1B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Цена земельного участка определяется в размере двух с половиной процентов его кадастровой стоимости при продаже земельных участков в случаях, предусмотренных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"consultantplus://offline/ref=F87FDCF96CD90911100005ADB001997AA342A8689E65D3F2469D99209C77B143C44E1BDF2922FB82B6F8328F3E151A47FB0B54D2b4sAD"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пунктом 2.2 статьи 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от 25.10.2001 </w:t>
      </w: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137-ФЗ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введении в действие Земельного кодекса Российской Федерации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- Федеральный закон о введении в действие Земельного кодекса Российской Федерации).</w:t>
      </w:r>
    </w:p>
    <w:p w14:paraId="1C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В случаях, предусмотренных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"consultantplus://offline/ref=F87FDCF96CD90911100005ADB001997AA342A8689E65D3F2469D99209C77B143C44E1BD82829AED5FAA66BDC735E1740EC1754D557893DABb9sDD"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пунктами 3.1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"consultantplus://offline/ref=F87FDCF96CD90911100005ADB001997AA342A8689E65D3F2469D99209C77B143C44E1BD82829AED5FBA66BDC735E1740EC1754D557893DABb9sDD"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3.2 статьи 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о введении в действие Земельного кодекса Российской Федерации, цена земельного участка определяется по правилам, установленным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"consultantplus://offline/ref=F87FDCF96CD9091110001BA0A66DC773AE4AF5609662DFA213CB9F77C327B716840E1D8D6B6DA2D2F2AD3D8D35004E13A15C59D240953DAC80A6B241b4sAD"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статьей 9.1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Закона Новосибирской области от 05.12.2016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112-ОЗ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отдельных вопросах регулирования земельных отношений на территории Новосибирской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1D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Цена земельного участка при продаже земельных участков в случаях, предусмотренных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"consultantplus://offline/ref=F87FDCF96CD90911100005ADB001997AA345AD6C9E62D3F2469D99209C77B143C44E1BD1202DA487A3E96A8035020442E01756D04Bb8s8D"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статьей 39.20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Земельного кодекса Российской Федерации, </w:t>
      </w:r>
      <w:r>
        <w:rPr>
          <w:rFonts w:ascii="Times New Roman" w:hAnsi="Times New Roman"/>
          <w:sz w:val="28"/>
        </w:rPr>
        <w:t xml:space="preserve">собственникам зданий, сооружений либо помещений в них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 его кадастровой стоимости.</w:t>
      </w:r>
    </w:p>
    <w:p w14:paraId="1E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Исключение составляет продажа земельных участков:</w:t>
      </w:r>
    </w:p>
    <w:p w14:paraId="1F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занимаемых исключительно наземными плоскостными сооружениями либо занимаемых зданиями, сооружениями или едиными недвижимыми комплексами, в состав которых входят сооружения, и при этом площадь застройки наземных плоскостных сооружений составляет 50 и более процентов от площади застройки всех зданий, сооружений, расположенных на земельном участке или входящих в состав единого недвижимого комплекса;</w:t>
      </w:r>
    </w:p>
    <w:p w14:paraId="20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из состава земель сельскохозяйственного назначения;</w:t>
      </w:r>
    </w:p>
    <w:p w14:paraId="21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t> </w:t>
      </w:r>
      <w:r>
        <w:rPr>
          <w:rFonts w:ascii="Times New Roman" w:hAnsi="Times New Roman"/>
          <w:sz w:val="28"/>
        </w:rPr>
        <w:t xml:space="preserve">основной и (или) условно разрешенный вид разрешенного использования которых соответствует описанию видов разрешенного использования земельного участка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природно-познавательный туризм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"consultantplus://offline/ref=F87FDCF96CD90911100005ADB001997AA343A86B9764D3F2469D99209C77B143C44E1BD82829ADDAFAA66BDC735E1740EC1754D557893DABb9sDD"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(5.2)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туристическое обслуживание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"consultantplus://offline/ref=F87FDCF96CD90911100005ADB001997AA343A86B9764D3F2469D99209C77B143C44E1BD82829ACD3F3A66BDC735E1740EC1754D557893DABb9sDD"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(5.2.1)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охота и рыбалка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"consultantplus://offline/ref=F87FDCF96CD90911100005ADB001997AA343A86B9764D3F2469D99209C77B143C44E1BD82829ACD3F6A66BDC735E1740EC1754D557893DABb9sDD"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(5.3)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причалы для маломерных судов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"consultantplus://offline/ref=F87FDCF96CD90911100005ADB001997AA343A86B9764D3F2469D99209C77B143C44E1BD82829ACD3F5A66BDC735E1740EC1754D557893DABb9sDD"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(5.4)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поля для гольфа или конных прогулок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"consultantplus://offline/ref=F87FDCF96CD90911100005ADB001997AA343A86B9764D3F2469D99209C77B143C44E1BD82829ACD2F2A66BDC735E1740EC1754D557893DABb9sDD"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(5.5)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Times New Roman" w:hAnsi="Times New Roman"/>
          <w:sz w:val="28"/>
        </w:rPr>
        <w:t>Росреестра</w:t>
      </w:r>
      <w:r>
        <w:rPr>
          <w:rFonts w:ascii="Times New Roman" w:hAnsi="Times New Roman"/>
          <w:sz w:val="28"/>
        </w:rPr>
        <w:t xml:space="preserve"> от 10.11.2020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/0412;</w:t>
      </w:r>
    </w:p>
    <w:p w14:paraId="22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 xml:space="preserve">собственникам зданий, сооружений либо помещений в них в случае, если эти здания, сооружения были отчуждены из государственной или муниципальной собственности и (или) возведены вместо разрушенных или снесенных и ранее отчужденных из государственной или муниципальной собственности зданий, строений, сооружений, за исключением случаев, предусмотренных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"consultantplus://offline/ref=F87FDCF96CD90911100005ADB001997AA342A8689E65D3F2469D99209C77B143C44E1BDF2922FB82B6F8328F3E151A47FB0B54D2b4sAD"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пунктом 2.2 статьи 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о введении в действие Земельного кодекса Российской Федерации;</w:t>
      </w:r>
    </w:p>
    <w:p w14:paraId="23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 xml:space="preserve">собственникам зданий, сооружений либо помещений в них в случае, если земельный участок для строительства здания, сооружения в установленном законом порядке не предоставлялся и право собственности на здание, сооружение признано судом в соответствии со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"consultantplus://offline/ref=F87FDCF96CD90911100005ADB001997AA342A3699066D3F2469D99209C77B143C44E1BD82828AEDBF5A66BDC735E1740EC1754D557893DABb9sDD"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статьей 222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Гражданского кодекса Российской Федерации;</w:t>
      </w:r>
    </w:p>
    <w:p w14:paraId="24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 xml:space="preserve">в случаях, предусмотренных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\l "P65"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пунктом 6.1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Порядка.</w:t>
      </w:r>
    </w:p>
    <w:p w14:paraId="25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bookmarkStart w:id="3" w:name="P65"/>
      <w:bookmarkEnd w:id="3"/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Цена земельного участка при продаже земельных участков в случаях, предусмотренных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"consultantplus://offline/ref=F87FDCF96CD90911100005ADB001997AA345AD6C9E62D3F2469D99209C77B143C44E1BD1202DA487A3E96A8035020442E01756D04Bb8s8D"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статьей 39.20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Земельного кодекса Российской Федерации, гражданам, являющимся собственниками объектов индивидуального жилищного строительства, расположенных на приобретаемых земельных участках, </w:t>
      </w:r>
      <w:r>
        <w:rPr>
          <w:rFonts w:ascii="Times New Roman" w:hAnsi="Times New Roman"/>
          <w:sz w:val="28"/>
        </w:rPr>
        <w:t>составляет</w:t>
      </w:r>
      <w:r>
        <w:rPr>
          <w:rFonts w:ascii="Times New Roman" w:hAnsi="Times New Roman"/>
          <w:sz w:val="28"/>
        </w:rPr>
        <w:t xml:space="preserve"> 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 его кадастровой стоимости.</w:t>
      </w:r>
    </w:p>
    <w:p w14:paraId="26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bookmarkStart w:id="4" w:name="P69"/>
      <w:bookmarkEnd w:id="4"/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Цена земельного участка определяется в размере его рыночной стоимости, определяемой в соответствии с законодательством Российской Федерации об оценочной деятельности, при продаже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в соответствии со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"consultantplus://offline/ref=F87FDCF96CD90911100005ADB001997AA345AD6C9E62D3F2469D99209C77B143C44E1BD12D21A487A3E96A8035020442E01756D04Bb8s8D"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статьей 39.18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Земельного кодекса Российской Федерации.</w:t>
      </w:r>
      <w:r>
        <w:rPr>
          <w:rFonts w:ascii="Times New Roman" w:hAnsi="Times New Roman"/>
          <w:sz w:val="28"/>
        </w:rPr>
        <w:t xml:space="preserve"> При этом если рыночная стоимость земельного участка, определенная в соответствии с законодательством Российской Федерации об оценочной деятельности, превышает его кадастровую </w:t>
      </w:r>
      <w:r>
        <w:rPr>
          <w:rFonts w:ascii="Times New Roman" w:hAnsi="Times New Roman"/>
          <w:sz w:val="28"/>
        </w:rPr>
        <w:t>стоимость, цена земельного участка определяется в размере его кадастровой стоимости.</w:t>
      </w:r>
    </w:p>
    <w:p w14:paraId="27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Цена земельного участка определяется в размере его кадастровой стоимости при продаже земельных участков юридическим лицам при переоформлении права постоянного (бессрочного) пользования,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объекты), в соответствии с правилами, установленными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"consultantplus://offline/ref=F87FDCF96CD90911100005ADB001997AA342A8689E65D3F2469D99209C77B143C44E1BD02D22FB82B6F8328F3E151A47FB0B54D2b4sAD"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абзацем первым пункта 2 статьи 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о введении в действие Земельного кодекса Российской Федерации.</w:t>
      </w:r>
    </w:p>
    <w:p w14:paraId="28000000">
      <w:pPr>
        <w:pStyle w:val="Style_1"/>
        <w:ind w:firstLine="540" w:left="0"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9" w:gutter="0" w:header="709" w:left="1418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9" w:type="paragraph">
    <w:name w:val="Balloon Text"/>
    <w:basedOn w:val="Style_3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3_ch"/>
    <w:link w:val="Style_9"/>
    <w:rPr>
      <w:rFonts w:ascii="Tahoma" w:hAnsi="Tahoma"/>
      <w:sz w:val="1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ConsPlusTitlePage"/>
    <w:link w:val="Style_16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6_ch" w:type="character">
    <w:name w:val="ConsPlusTitlePage"/>
    <w:link w:val="Style_16"/>
    <w:rPr>
      <w:rFonts w:ascii="Tahoma" w:hAnsi="Tahoma"/>
      <w:sz w:val="20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2023-06-09T07:17:44Z</dcterms:modified>
</cp:coreProperties>
</file>